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0" w:rsidRPr="00883818" w:rsidRDefault="00C11844" w:rsidP="00367CF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7661C6" w:rsidRPr="0088381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342AD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90E" w:rsidRPr="00883818">
        <w:rPr>
          <w:rFonts w:ascii="Times New Roman" w:hAnsi="Times New Roman" w:cs="Times New Roman"/>
          <w:sz w:val="24"/>
          <w:szCs w:val="24"/>
          <w:lang w:val="ro-RO"/>
        </w:rPr>
        <w:t>122</w:t>
      </w:r>
      <w:r w:rsidR="007661C6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3D23F6" w:rsidRPr="0088381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A590E" w:rsidRPr="0088381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7661C6" w:rsidRPr="00883818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D23F6" w:rsidRPr="0088381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7661C6" w:rsidRPr="00883818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1D6EF7" w:rsidRPr="0088381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367CFD" w:rsidRPr="0088381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F0211" w:rsidRPr="00883818" w:rsidRDefault="00367CFD" w:rsidP="00367CF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367CFD" w:rsidRPr="00883818" w:rsidRDefault="00367CFD" w:rsidP="00367CF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83818" w:rsidRPr="00883818" w:rsidRDefault="00367CFD" w:rsidP="0067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BULETIN DE AVERTIZARE</w:t>
      </w:r>
    </w:p>
    <w:p w:rsidR="005058BF" w:rsidRPr="00883818" w:rsidRDefault="00367CFD" w:rsidP="00677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</w:t>
      </w:r>
      <w:r w:rsidR="00235D64" w:rsidRPr="00883818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77995" w:rsidRPr="0088381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C11844" w:rsidRPr="00883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din </w:t>
      </w:r>
      <w:r w:rsidR="003D23F6" w:rsidRPr="00883818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8A590E" w:rsidRPr="00883818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3D23F6" w:rsidRPr="0088381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1D6EF7" w:rsidRPr="00883818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:rsidR="0020073C" w:rsidRPr="00883818" w:rsidRDefault="0020073C" w:rsidP="00200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0211" w:rsidRPr="00883818" w:rsidRDefault="00FF0211" w:rsidP="00200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7CFD" w:rsidRPr="00883818" w:rsidRDefault="00367CFD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Pentru prevenirea si combaterea organismelor dăunatoare: 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molia minera a tomatelor</w:t>
      </w:r>
      <w:r w:rsidR="004E76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Tuta absoluta</w:t>
      </w:r>
      <w:r w:rsidR="004E76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),</w:t>
      </w:r>
    </w:p>
    <w:p w:rsidR="00367CFD" w:rsidRPr="00883818" w:rsidRDefault="00367CFD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musculi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albă de seră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Trialeurodes</w:t>
      </w:r>
      <w:r w:rsidR="004E76A1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va</w:t>
      </w:r>
      <w:r w:rsidR="004E76A1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p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orariorum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tripsul tutunului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Thrips tabaci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afide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Aphis</w:t>
      </w:r>
      <w:r w:rsidR="004E76A1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spp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E76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367CFD" w:rsidRPr="00883818" w:rsidRDefault="00367CFD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Se recomand</w:t>
      </w:r>
      <w:r w:rsidR="004E76A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efectuarea tratamentelor fitosanitare la cultura de: </w:t>
      </w:r>
      <w:r w:rsidR="004E76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tomate, ardei, vinete,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în spații protejate</w:t>
      </w:r>
    </w:p>
    <w:p w:rsidR="00367CFD" w:rsidRPr="00883818" w:rsidRDefault="00367CFD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(răsadnițe, sere, solarii).</w:t>
      </w:r>
    </w:p>
    <w:p w:rsidR="0020073C" w:rsidRPr="00883818" w:rsidRDefault="0020073C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  <w:sectPr w:rsidR="0020073C" w:rsidRPr="00883818" w:rsidSect="005F6538">
          <w:headerReference w:type="default" r:id="rId6"/>
          <w:pgSz w:w="11906" w:h="16838"/>
          <w:pgMar w:top="567" w:right="454" w:bottom="567" w:left="964" w:header="284" w:footer="284" w:gutter="0"/>
          <w:cols w:space="708"/>
          <w:docGrid w:linePitch="360"/>
        </w:sectPr>
      </w:pPr>
    </w:p>
    <w:p w:rsidR="0089009C" w:rsidRPr="00883818" w:rsidRDefault="0030721B" w:rsidP="008838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83818">
        <w:rPr>
          <w:b/>
        </w:rPr>
        <w:lastRenderedPageBreak/>
        <w:t>M</w:t>
      </w:r>
      <w:r w:rsidR="00574CB8" w:rsidRPr="00883818">
        <w:rPr>
          <w:b/>
        </w:rPr>
        <w:t>olia miner</w:t>
      </w:r>
      <w:r w:rsidR="00780CB7" w:rsidRPr="00883818">
        <w:rPr>
          <w:b/>
        </w:rPr>
        <w:t>ă</w:t>
      </w:r>
      <w:r w:rsidR="00574CB8" w:rsidRPr="00883818">
        <w:rPr>
          <w:b/>
        </w:rPr>
        <w:t xml:space="preserve"> a tomatelor</w:t>
      </w:r>
      <w:r w:rsidR="000B7DDD" w:rsidRPr="00883818">
        <w:rPr>
          <w:b/>
        </w:rPr>
        <w:t xml:space="preserve"> </w:t>
      </w:r>
      <w:r w:rsidRPr="00883818">
        <w:t>(</w:t>
      </w:r>
      <w:r w:rsidRPr="00883818">
        <w:rPr>
          <w:i/>
        </w:rPr>
        <w:t>Tuta absoluta</w:t>
      </w:r>
      <w:r w:rsidRPr="00883818">
        <w:t>)</w:t>
      </w:r>
      <w:r w:rsidR="000B7DDD" w:rsidRPr="00883818">
        <w:rPr>
          <w:color w:val="000000"/>
        </w:rPr>
        <w:t xml:space="preserve"> </w:t>
      </w:r>
      <w:r w:rsidR="00640583" w:rsidRPr="00883818">
        <w:rPr>
          <w:color w:val="000000"/>
        </w:rPr>
        <w:t xml:space="preserve">este </w:t>
      </w:r>
      <w:r w:rsidR="00524F1C" w:rsidRPr="00883818">
        <w:rPr>
          <w:color w:val="000000"/>
        </w:rPr>
        <w:t>un dăun</w:t>
      </w:r>
      <w:r w:rsidR="000B7DDD" w:rsidRPr="00883818">
        <w:rPr>
          <w:color w:val="000000"/>
        </w:rPr>
        <w:t>ă</w:t>
      </w:r>
      <w:r w:rsidR="00524F1C" w:rsidRPr="00883818">
        <w:rPr>
          <w:color w:val="000000"/>
        </w:rPr>
        <w:t xml:space="preserve">tor cunoscut deja </w:t>
      </w:r>
      <w:r w:rsidR="000B7DDD" w:rsidRPr="00883818">
        <w:rPr>
          <w:color w:val="000000"/>
        </w:rPr>
        <w:t>î</w:t>
      </w:r>
      <w:r w:rsidR="00524F1C" w:rsidRPr="00883818">
        <w:rPr>
          <w:color w:val="000000"/>
        </w:rPr>
        <w:t>n Rom</w:t>
      </w:r>
      <w:r w:rsidR="000B7DDD" w:rsidRPr="00883818">
        <w:rPr>
          <w:color w:val="000000"/>
        </w:rPr>
        <w:t>â</w:t>
      </w:r>
      <w:r w:rsidR="00524F1C" w:rsidRPr="00883818">
        <w:rPr>
          <w:color w:val="000000"/>
        </w:rPr>
        <w:t>nia.</w:t>
      </w:r>
      <w:r w:rsidR="00235D64" w:rsidRPr="00883818">
        <w:rPr>
          <w:color w:val="000000"/>
        </w:rPr>
        <w:t xml:space="preserve"> Acest</w:t>
      </w:r>
      <w:r w:rsidR="000B7DDD" w:rsidRPr="00883818">
        <w:rPr>
          <w:color w:val="000000"/>
        </w:rPr>
        <w:t>a</w:t>
      </w:r>
      <w:r w:rsidR="00361C47" w:rsidRPr="00883818">
        <w:rPr>
          <w:color w:val="000000"/>
        </w:rPr>
        <w:t> poate avea p</w:t>
      </w:r>
      <w:r w:rsidR="000B7DDD" w:rsidRPr="00883818">
        <w:rPr>
          <w:color w:val="000000"/>
        </w:rPr>
        <w:t>â</w:t>
      </w:r>
      <w:r w:rsidR="00361C47" w:rsidRPr="00883818">
        <w:rPr>
          <w:color w:val="000000"/>
        </w:rPr>
        <w:t>nă</w:t>
      </w:r>
      <w:r w:rsidR="0089009C" w:rsidRPr="00883818">
        <w:rPr>
          <w:color w:val="000000"/>
        </w:rPr>
        <w:t xml:space="preserve"> la 10</w:t>
      </w:r>
      <w:r w:rsidR="000B7DDD" w:rsidRPr="00883818">
        <w:rPr>
          <w:color w:val="000000"/>
        </w:rPr>
        <w:t xml:space="preserve"> </w:t>
      </w:r>
      <w:r w:rsidR="0089009C" w:rsidRPr="00883818">
        <w:rPr>
          <w:color w:val="000000"/>
        </w:rPr>
        <w:t>-</w:t>
      </w:r>
      <w:r w:rsidR="000B7DDD" w:rsidRPr="00883818">
        <w:rPr>
          <w:color w:val="000000"/>
        </w:rPr>
        <w:t xml:space="preserve"> </w:t>
      </w:r>
      <w:r w:rsidR="0089009C" w:rsidRPr="00883818">
        <w:rPr>
          <w:color w:val="000000"/>
        </w:rPr>
        <w:t>12 genera</w:t>
      </w:r>
      <w:r w:rsidR="000B7DDD" w:rsidRPr="00883818">
        <w:rPr>
          <w:color w:val="000000"/>
        </w:rPr>
        <w:t>ț</w:t>
      </w:r>
      <w:r w:rsidR="0089009C" w:rsidRPr="00883818">
        <w:rPr>
          <w:color w:val="000000"/>
        </w:rPr>
        <w:t>ii</w:t>
      </w:r>
      <w:r w:rsidR="000B7DDD" w:rsidRPr="00883818">
        <w:rPr>
          <w:color w:val="000000"/>
        </w:rPr>
        <w:t xml:space="preserve"> /an.</w:t>
      </w:r>
      <w:r w:rsidR="0089009C" w:rsidRPr="00883818">
        <w:rPr>
          <w:color w:val="000000"/>
        </w:rPr>
        <w:t xml:space="preserve"> </w:t>
      </w:r>
      <w:r w:rsidR="000B7DDD" w:rsidRPr="00883818">
        <w:rPr>
          <w:color w:val="000000"/>
        </w:rPr>
        <w:t>T</w:t>
      </w:r>
      <w:r w:rsidR="00361C47" w:rsidRPr="00883818">
        <w:rPr>
          <w:color w:val="000000"/>
        </w:rPr>
        <w:t>emperaturile</w:t>
      </w:r>
      <w:r w:rsidR="0089009C" w:rsidRPr="00883818">
        <w:rPr>
          <w:color w:val="000000"/>
        </w:rPr>
        <w:t xml:space="preserve"> ridicate</w:t>
      </w:r>
      <w:r w:rsidR="00361C47" w:rsidRPr="00883818">
        <w:rPr>
          <w:color w:val="000000"/>
        </w:rPr>
        <w:t xml:space="preserve"> </w:t>
      </w:r>
      <w:r w:rsidR="000B7DDD" w:rsidRPr="00883818">
        <w:rPr>
          <w:color w:val="000000"/>
        </w:rPr>
        <w:t>î</w:t>
      </w:r>
      <w:r w:rsidR="00361C47" w:rsidRPr="00883818">
        <w:rPr>
          <w:color w:val="000000"/>
        </w:rPr>
        <w:t>i favorizeaz</w:t>
      </w:r>
      <w:r w:rsidR="000B7DDD" w:rsidRPr="00883818">
        <w:rPr>
          <w:color w:val="000000"/>
        </w:rPr>
        <w:t>ă înmulț</w:t>
      </w:r>
      <w:r w:rsidR="00361C47" w:rsidRPr="00883818">
        <w:rPr>
          <w:color w:val="000000"/>
        </w:rPr>
        <w:t>irea,</w:t>
      </w:r>
      <w:r w:rsidR="000B7DDD" w:rsidRPr="00883818">
        <w:rPr>
          <w:color w:val="000000"/>
        </w:rPr>
        <w:t xml:space="preserve"> </w:t>
      </w:r>
      <w:r w:rsidR="00361C47" w:rsidRPr="00883818">
        <w:rPr>
          <w:color w:val="000000"/>
        </w:rPr>
        <w:t>dar este tolerantă</w:t>
      </w:r>
      <w:r w:rsidR="000B7DDD" w:rsidRPr="00883818">
        <w:rPr>
          <w:color w:val="000000"/>
        </w:rPr>
        <w:t xml:space="preserve"> </w:t>
      </w:r>
      <w:r w:rsidR="00780CB7" w:rsidRPr="00883818">
        <w:rPr>
          <w:color w:val="000000"/>
        </w:rPr>
        <w:t xml:space="preserve">și </w:t>
      </w:r>
      <w:r w:rsidR="00361C47" w:rsidRPr="00883818">
        <w:rPr>
          <w:color w:val="000000"/>
        </w:rPr>
        <w:t>la temperaturi</w:t>
      </w:r>
      <w:r w:rsidR="00235D64" w:rsidRPr="00883818">
        <w:rPr>
          <w:color w:val="000000"/>
        </w:rPr>
        <w:t xml:space="preserve"> mai scăzute</w:t>
      </w:r>
      <w:r w:rsidR="00361C47" w:rsidRPr="00883818">
        <w:rPr>
          <w:color w:val="000000"/>
        </w:rPr>
        <w:t>, din</w:t>
      </w:r>
      <w:r w:rsidR="000B7DDD" w:rsidRPr="00883818">
        <w:rPr>
          <w:color w:val="000000"/>
        </w:rPr>
        <w:t xml:space="preserve"> timpul iernii</w:t>
      </w:r>
      <w:r w:rsidR="00361C47" w:rsidRPr="00883818">
        <w:rPr>
          <w:color w:val="000000"/>
        </w:rPr>
        <w:t xml:space="preserve"> (</w:t>
      </w:r>
      <w:r w:rsidR="000B7DDD" w:rsidRPr="00883818">
        <w:rPr>
          <w:color w:val="000000"/>
        </w:rPr>
        <w:t>50% dintre larve, pupe sau adulț</w:t>
      </w:r>
      <w:r w:rsidR="00361C47" w:rsidRPr="00883818">
        <w:rPr>
          <w:color w:val="000000"/>
        </w:rPr>
        <w:t>i</w:t>
      </w:r>
      <w:r w:rsidR="000B7DDD" w:rsidRPr="00883818">
        <w:rPr>
          <w:color w:val="000000"/>
        </w:rPr>
        <w:t xml:space="preserve"> </w:t>
      </w:r>
      <w:r w:rsidR="00361C47" w:rsidRPr="00883818">
        <w:rPr>
          <w:color w:val="000000"/>
        </w:rPr>
        <w:t>supravie</w:t>
      </w:r>
      <w:r w:rsidR="000B7DDD" w:rsidRPr="00883818">
        <w:rPr>
          <w:color w:val="000000"/>
        </w:rPr>
        <w:t>ț</w:t>
      </w:r>
      <w:r w:rsidR="00361C47" w:rsidRPr="00883818">
        <w:rPr>
          <w:color w:val="000000"/>
        </w:rPr>
        <w:t>uiesc peste iarn</w:t>
      </w:r>
      <w:r w:rsidR="00780CB7" w:rsidRPr="00883818">
        <w:rPr>
          <w:color w:val="000000"/>
        </w:rPr>
        <w:t>ă</w:t>
      </w:r>
      <w:r w:rsidR="00361C47" w:rsidRPr="00883818">
        <w:rPr>
          <w:color w:val="000000"/>
        </w:rPr>
        <w:t>, dac</w:t>
      </w:r>
      <w:r w:rsidR="00780CB7" w:rsidRPr="00883818">
        <w:rPr>
          <w:color w:val="000000"/>
        </w:rPr>
        <w:t>ă temperatura</w:t>
      </w:r>
      <w:r w:rsidR="00361C47" w:rsidRPr="00883818">
        <w:rPr>
          <w:color w:val="000000"/>
        </w:rPr>
        <w:t xml:space="preserve"> nu scad</w:t>
      </w:r>
      <w:r w:rsidR="00780CB7" w:rsidRPr="00883818">
        <w:rPr>
          <w:color w:val="000000"/>
        </w:rPr>
        <w:t>e</w:t>
      </w:r>
      <w:r w:rsidR="00361C47" w:rsidRPr="00883818">
        <w:rPr>
          <w:color w:val="000000"/>
        </w:rPr>
        <w:t xml:space="preserve"> sub 0</w:t>
      </w:r>
      <w:r w:rsidR="00361C47" w:rsidRPr="00883818">
        <w:rPr>
          <w:color w:val="000000"/>
          <w:vertAlign w:val="superscript"/>
        </w:rPr>
        <w:t>o</w:t>
      </w:r>
      <w:r w:rsidR="00361C47" w:rsidRPr="00883818">
        <w:rPr>
          <w:color w:val="000000"/>
        </w:rPr>
        <w:t>C).</w:t>
      </w:r>
      <w:r w:rsidR="0089009C" w:rsidRPr="00883818">
        <w:rPr>
          <w:color w:val="000000"/>
        </w:rPr>
        <w:tab/>
        <w:t>C</w:t>
      </w:r>
      <w:r w:rsidR="00780CB7" w:rsidRPr="00883818">
        <w:rPr>
          <w:color w:val="000000"/>
        </w:rPr>
        <w:t>iclu</w:t>
      </w:r>
      <w:r w:rsidR="0089009C" w:rsidRPr="00883818">
        <w:rPr>
          <w:color w:val="000000"/>
        </w:rPr>
        <w:t>l</w:t>
      </w:r>
      <w:r w:rsidR="00780CB7" w:rsidRPr="00883818">
        <w:rPr>
          <w:color w:val="000000"/>
        </w:rPr>
        <w:t xml:space="preserve"> complet de via</w:t>
      </w:r>
      <w:r w:rsidR="000B7DDD" w:rsidRPr="00883818">
        <w:rPr>
          <w:color w:val="000000"/>
        </w:rPr>
        <w:t>ță</w:t>
      </w:r>
      <w:r w:rsidR="00780CB7" w:rsidRPr="00883818">
        <w:rPr>
          <w:color w:val="000000"/>
        </w:rPr>
        <w:t xml:space="preserve"> al acestui</w:t>
      </w:r>
      <w:r w:rsidR="000B7DDD" w:rsidRPr="00883818">
        <w:rPr>
          <w:color w:val="000000"/>
        </w:rPr>
        <w:t xml:space="preserve"> </w:t>
      </w:r>
      <w:r w:rsidR="00780CB7" w:rsidRPr="00883818">
        <w:rPr>
          <w:color w:val="000000"/>
        </w:rPr>
        <w:t>dăunător are 4 stadii</w:t>
      </w:r>
      <w:r w:rsidR="00361C47" w:rsidRPr="00883818">
        <w:rPr>
          <w:color w:val="000000"/>
        </w:rPr>
        <w:t>: ou, larv</w:t>
      </w:r>
      <w:r w:rsidR="00780CB7" w:rsidRPr="00883818">
        <w:rPr>
          <w:color w:val="000000"/>
        </w:rPr>
        <w:t>ă</w:t>
      </w:r>
      <w:r w:rsidR="00361C47" w:rsidRPr="00883818">
        <w:rPr>
          <w:color w:val="000000"/>
        </w:rPr>
        <w:t>, pup</w:t>
      </w:r>
      <w:r w:rsidR="00780CB7" w:rsidRPr="00883818">
        <w:rPr>
          <w:color w:val="000000"/>
        </w:rPr>
        <w:t>ă</w:t>
      </w:r>
      <w:r w:rsidR="00361C47" w:rsidRPr="00883818">
        <w:rPr>
          <w:color w:val="000000"/>
        </w:rPr>
        <w:t xml:space="preserve"> </w:t>
      </w:r>
      <w:r w:rsidR="000B7DDD" w:rsidRPr="00883818">
        <w:rPr>
          <w:color w:val="000000"/>
        </w:rPr>
        <w:t>ș</w:t>
      </w:r>
      <w:r w:rsidR="00361C47" w:rsidRPr="00883818">
        <w:rPr>
          <w:color w:val="000000"/>
        </w:rPr>
        <w:t>i adult. Larva este cea d</w:t>
      </w:r>
      <w:r w:rsidR="00780CB7" w:rsidRPr="00883818">
        <w:rPr>
          <w:color w:val="000000"/>
        </w:rPr>
        <w:t>ă</w:t>
      </w:r>
      <w:r w:rsidR="00361C47" w:rsidRPr="00883818">
        <w:rPr>
          <w:color w:val="000000"/>
        </w:rPr>
        <w:t>un</w:t>
      </w:r>
      <w:r w:rsidR="000B7DDD" w:rsidRPr="00883818">
        <w:rPr>
          <w:color w:val="000000"/>
        </w:rPr>
        <w:t>ă</w:t>
      </w:r>
      <w:r w:rsidR="00361C47" w:rsidRPr="00883818">
        <w:rPr>
          <w:color w:val="000000"/>
        </w:rPr>
        <w:t>toare culturilor de legume. </w:t>
      </w:r>
    </w:p>
    <w:p w:rsidR="0020073C" w:rsidRPr="00883818" w:rsidRDefault="00361C47" w:rsidP="008838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83818">
        <w:rPr>
          <w:rStyle w:val="Emphasis"/>
          <w:color w:val="000000"/>
        </w:rPr>
        <w:t>Tuta absoluta</w:t>
      </w:r>
      <w:r w:rsidR="00780CB7" w:rsidRPr="00883818">
        <w:rPr>
          <w:color w:val="000000"/>
        </w:rPr>
        <w:t xml:space="preserve"> atacă mai frecvent culturile de</w:t>
      </w:r>
      <w:r w:rsidRPr="00883818">
        <w:rPr>
          <w:color w:val="000000"/>
        </w:rPr>
        <w:t xml:space="preserve"> tomate</w:t>
      </w:r>
      <w:r w:rsidR="00780CB7" w:rsidRPr="00883818">
        <w:rPr>
          <w:color w:val="000000"/>
        </w:rPr>
        <w:t xml:space="preserve"> dar și </w:t>
      </w:r>
      <w:r w:rsidR="000B7DDD" w:rsidRPr="00883818">
        <w:rPr>
          <w:color w:val="000000"/>
        </w:rPr>
        <w:t xml:space="preserve">pe </w:t>
      </w:r>
      <w:r w:rsidR="00780CB7" w:rsidRPr="00883818">
        <w:rPr>
          <w:color w:val="000000"/>
        </w:rPr>
        <w:t>cele de</w:t>
      </w:r>
      <w:r w:rsidRPr="00883818">
        <w:rPr>
          <w:color w:val="000000"/>
        </w:rPr>
        <w:t xml:space="preserve"> cartof</w:t>
      </w:r>
      <w:r w:rsidR="000B7DDD" w:rsidRPr="00883818">
        <w:rPr>
          <w:color w:val="000000"/>
        </w:rPr>
        <w:t>i, ardei</w:t>
      </w:r>
      <w:r w:rsidRPr="00883818">
        <w:rPr>
          <w:color w:val="000000"/>
        </w:rPr>
        <w:t xml:space="preserve">, vinete </w:t>
      </w:r>
      <w:r w:rsidR="000B7DDD" w:rsidRPr="00883818">
        <w:rPr>
          <w:color w:val="000000"/>
        </w:rPr>
        <w:t>ș</w:t>
      </w:r>
      <w:r w:rsidRPr="00883818">
        <w:rPr>
          <w:color w:val="000000"/>
        </w:rPr>
        <w:t>i t</w:t>
      </w:r>
      <w:r w:rsidR="00780CB7" w:rsidRPr="00883818">
        <w:rPr>
          <w:color w:val="000000"/>
        </w:rPr>
        <w:t>utun (</w:t>
      </w:r>
      <w:r w:rsidRPr="00883818">
        <w:rPr>
          <w:color w:val="000000"/>
        </w:rPr>
        <w:t xml:space="preserve">plante din familia </w:t>
      </w:r>
      <w:r w:rsidRPr="00883818">
        <w:rPr>
          <w:i/>
          <w:color w:val="000000"/>
        </w:rPr>
        <w:t>Solanaceae)</w:t>
      </w:r>
      <w:r w:rsidRPr="00883818">
        <w:rPr>
          <w:color w:val="000000"/>
        </w:rPr>
        <w:t>.</w:t>
      </w:r>
      <w:r w:rsidR="008F60AC" w:rsidRPr="00883818">
        <w:rPr>
          <w:color w:val="000000"/>
        </w:rPr>
        <w:t xml:space="preserve"> Larvele  atacă culturile </w:t>
      </w:r>
      <w:r w:rsidR="000B7DDD" w:rsidRPr="00883818">
        <w:rPr>
          <w:color w:val="000000"/>
        </w:rPr>
        <w:t>î</w:t>
      </w:r>
      <w:r w:rsidR="008F60AC" w:rsidRPr="00883818">
        <w:rPr>
          <w:color w:val="000000"/>
        </w:rPr>
        <w:t>ncepând din lunile mai</w:t>
      </w:r>
      <w:r w:rsidR="000B7DDD" w:rsidRPr="00883818">
        <w:rPr>
          <w:color w:val="000000"/>
        </w:rPr>
        <w:t xml:space="preserve"> </w:t>
      </w:r>
      <w:r w:rsidR="008F60AC" w:rsidRPr="00883818">
        <w:rPr>
          <w:color w:val="000000"/>
        </w:rPr>
        <w:t>–</w:t>
      </w:r>
      <w:r w:rsidR="000B7DDD" w:rsidRPr="00883818">
        <w:rPr>
          <w:color w:val="000000"/>
        </w:rPr>
        <w:t xml:space="preserve"> </w:t>
      </w:r>
      <w:r w:rsidR="008F60AC" w:rsidRPr="00883818">
        <w:rPr>
          <w:color w:val="000000"/>
        </w:rPr>
        <w:t>iunie, de la răsa</w:t>
      </w:r>
      <w:r w:rsidR="0089009C" w:rsidRPr="00883818">
        <w:rPr>
          <w:color w:val="000000"/>
        </w:rPr>
        <w:t>d până la plante mature. Acestea</w:t>
      </w:r>
      <w:r w:rsidR="008F60AC" w:rsidRPr="00883818">
        <w:rPr>
          <w:color w:val="000000"/>
        </w:rPr>
        <w:t xml:space="preserve"> rod (mezofilul) porțiunea de mijloc dintre epidermele frunzei, realizând o zonă minată de formă ovală în interiorul frunzei.</w:t>
      </w:r>
      <w:r w:rsidR="00CD2DF7" w:rsidRPr="00883818">
        <w:rPr>
          <w:color w:val="000000"/>
        </w:rPr>
        <w:t xml:space="preserve"> Adulții</w:t>
      </w:r>
      <w:r w:rsidR="0089009C" w:rsidRPr="00883818">
        <w:rPr>
          <w:color w:val="000000"/>
        </w:rPr>
        <w:t xml:space="preserve"> au culoare brună</w:t>
      </w:r>
      <w:r w:rsidR="000B7DDD" w:rsidRPr="00883818">
        <w:rPr>
          <w:color w:val="000000"/>
        </w:rPr>
        <w:t xml:space="preserve"> </w:t>
      </w:r>
      <w:r w:rsidR="0089009C" w:rsidRPr="00883818">
        <w:rPr>
          <w:color w:val="000000"/>
        </w:rPr>
        <w:t>-</w:t>
      </w:r>
      <w:r w:rsidR="000B7DDD" w:rsidRPr="00883818">
        <w:rPr>
          <w:color w:val="000000"/>
        </w:rPr>
        <w:t xml:space="preserve"> </w:t>
      </w:r>
      <w:r w:rsidR="0089009C" w:rsidRPr="00883818">
        <w:rPr>
          <w:color w:val="000000"/>
        </w:rPr>
        <w:t xml:space="preserve">cenușie, </w:t>
      </w:r>
      <w:r w:rsidR="00CD2DF7" w:rsidRPr="00883818">
        <w:rPr>
          <w:color w:val="000000"/>
        </w:rPr>
        <w:t>argintată, cu pete mici</w:t>
      </w:r>
      <w:r w:rsidR="000B7DDD" w:rsidRPr="00883818">
        <w:rPr>
          <w:color w:val="000000"/>
        </w:rPr>
        <w:t>,</w:t>
      </w:r>
      <w:r w:rsidR="00CD2DF7" w:rsidRPr="00883818">
        <w:rPr>
          <w:color w:val="000000"/>
        </w:rPr>
        <w:t xml:space="preserve"> negre pe aripile anterioare. Lungimea corpului este de 5</w:t>
      </w:r>
      <w:r w:rsidR="000B7DDD" w:rsidRPr="00883818">
        <w:rPr>
          <w:color w:val="000000"/>
        </w:rPr>
        <w:t xml:space="preserve"> </w:t>
      </w:r>
      <w:r w:rsidR="00CD2DF7" w:rsidRPr="00883818">
        <w:rPr>
          <w:color w:val="000000"/>
        </w:rPr>
        <w:t>-</w:t>
      </w:r>
      <w:r w:rsidR="000B7DDD" w:rsidRPr="00883818">
        <w:rPr>
          <w:color w:val="000000"/>
        </w:rPr>
        <w:t xml:space="preserve"> </w:t>
      </w:r>
      <w:r w:rsidR="00CD2DF7" w:rsidRPr="00883818">
        <w:rPr>
          <w:color w:val="000000"/>
        </w:rPr>
        <w:t>7 mm, anvergura aripilor este de 8</w:t>
      </w:r>
      <w:r w:rsidR="000B7DDD" w:rsidRPr="00883818">
        <w:rPr>
          <w:color w:val="000000"/>
        </w:rPr>
        <w:t xml:space="preserve"> </w:t>
      </w:r>
      <w:r w:rsidR="00CD2DF7" w:rsidRPr="00883818">
        <w:rPr>
          <w:color w:val="000000"/>
        </w:rPr>
        <w:t>-</w:t>
      </w:r>
      <w:r w:rsidR="000B7DDD" w:rsidRPr="00883818">
        <w:rPr>
          <w:color w:val="000000"/>
        </w:rPr>
        <w:t xml:space="preserve"> </w:t>
      </w:r>
      <w:r w:rsidR="00CD2DF7" w:rsidRPr="00883818">
        <w:rPr>
          <w:color w:val="000000"/>
        </w:rPr>
        <w:t>10 mm</w:t>
      </w:r>
      <w:r w:rsidR="000B7DDD" w:rsidRPr="00883818">
        <w:rPr>
          <w:color w:val="000000"/>
        </w:rPr>
        <w:t>.</w:t>
      </w:r>
      <w:r w:rsidR="0071192F" w:rsidRPr="00883818">
        <w:rPr>
          <w:color w:val="000000"/>
        </w:rPr>
        <w:t xml:space="preserve"> Larva este o omidă, are lungimea de 1,5 – 1,6 mm, culo</w:t>
      </w:r>
      <w:r w:rsidR="0089009C" w:rsidRPr="00883818">
        <w:rPr>
          <w:color w:val="000000"/>
        </w:rPr>
        <w:t>a</w:t>
      </w:r>
      <w:r w:rsidR="0071192F" w:rsidRPr="00883818">
        <w:rPr>
          <w:color w:val="000000"/>
        </w:rPr>
        <w:t xml:space="preserve">rea crem și capul negru.  </w:t>
      </w:r>
      <w:r w:rsidR="0071192F" w:rsidRPr="00883818">
        <w:rPr>
          <w:color w:val="000000"/>
        </w:rPr>
        <w:tab/>
      </w:r>
      <w:r w:rsidR="0071192F" w:rsidRPr="00883818">
        <w:rPr>
          <w:color w:val="000000"/>
        </w:rPr>
        <w:tab/>
      </w:r>
    </w:p>
    <w:p w:rsidR="00C3426A" w:rsidRPr="00883818" w:rsidRDefault="00C3426A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18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2366519" cy="1572768"/>
            <wp:effectExtent l="19050" t="0" r="0" b="0"/>
            <wp:docPr id="3" name="Imagine 2" descr="t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623" cy="157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73C" w:rsidRPr="00883818" w:rsidRDefault="00C3426A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073C" w:rsidRPr="00883818" w:rsidSect="005F6538">
          <w:type w:val="continuous"/>
          <w:pgSz w:w="11906" w:h="16838"/>
          <w:pgMar w:top="567" w:right="454" w:bottom="567" w:left="964" w:header="284" w:footer="284" w:gutter="0"/>
          <w:cols w:num="2" w:space="710" w:equalWidth="0">
            <w:col w:w="6549" w:space="142"/>
            <w:col w:w="3797"/>
          </w:cols>
          <w:docGrid w:linePitch="360"/>
        </w:sectPr>
      </w:pPr>
      <w:r w:rsidRPr="00883818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2365705" cy="1240134"/>
            <wp:effectExtent l="19050" t="0" r="0" b="0"/>
            <wp:docPr id="4" name="Imagine 3" descr="308_6_2_tuta-absoluta-metode-de-control-si-combatere-la-tom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_6_2_tuta-absoluta-metode-de-control-si-combatere-la-toma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405" cy="124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721" w:rsidRPr="00883818" w:rsidRDefault="00C44721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1795119" cy="1188548"/>
            <wp:effectExtent l="19050" t="0" r="0" b="0"/>
            <wp:docPr id="2" name="Imagine 1" descr="Trialeurodes vaporarior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leurodes vaporariorum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07" cy="119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D7C" w:rsidRPr="00883818" w:rsidRDefault="006B4D7C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794108" cy="1316736"/>
            <wp:effectExtent l="19050" t="0" r="0" b="0"/>
            <wp:docPr id="5" name="Imagine 4" descr="mosca-blanca-de-los-invernaderos-trialeurodes-vaporariorum-los-adultos-y-pupas-desocupadas-br3e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ca-blanca-de-los-invernaderos-trialeurodes-vaporariorum-los-adultos-y-pupas-desocupadas-br3e6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148" cy="131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64" w:rsidRPr="00883818" w:rsidRDefault="00235D64" w:rsidP="0088381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</w:p>
    <w:p w:rsidR="0030721B" w:rsidRPr="00883818" w:rsidRDefault="00C44721" w:rsidP="0088381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883818">
        <w:rPr>
          <w:b/>
          <w:bCs/>
        </w:rPr>
        <w:t>M</w:t>
      </w:r>
      <w:r w:rsidR="0030721B" w:rsidRPr="00883818">
        <w:rPr>
          <w:b/>
          <w:bCs/>
        </w:rPr>
        <w:t xml:space="preserve">usculița albă de seră </w:t>
      </w:r>
      <w:r w:rsidR="0030721B" w:rsidRPr="00883818">
        <w:rPr>
          <w:bCs/>
        </w:rPr>
        <w:t>(</w:t>
      </w:r>
      <w:r w:rsidR="0030721B" w:rsidRPr="00883818">
        <w:rPr>
          <w:bCs/>
          <w:i/>
        </w:rPr>
        <w:t>Trialeurodes</w:t>
      </w:r>
      <w:r w:rsidR="000B7DDD" w:rsidRPr="00883818">
        <w:rPr>
          <w:bCs/>
          <w:i/>
        </w:rPr>
        <w:t xml:space="preserve"> </w:t>
      </w:r>
      <w:r w:rsidR="0030721B" w:rsidRPr="00883818">
        <w:rPr>
          <w:bCs/>
          <w:i/>
        </w:rPr>
        <w:lastRenderedPageBreak/>
        <w:t>va</w:t>
      </w:r>
      <w:r w:rsidR="000B7DDD" w:rsidRPr="00883818">
        <w:rPr>
          <w:bCs/>
          <w:i/>
        </w:rPr>
        <w:t>p</w:t>
      </w:r>
      <w:r w:rsidR="0030721B" w:rsidRPr="00883818">
        <w:rPr>
          <w:bCs/>
          <w:i/>
        </w:rPr>
        <w:t>orariorum</w:t>
      </w:r>
      <w:r w:rsidR="0030721B" w:rsidRPr="00883818">
        <w:rPr>
          <w:bCs/>
        </w:rPr>
        <w:t>)</w:t>
      </w:r>
      <w:r w:rsidR="0030721B" w:rsidRPr="00883818">
        <w:rPr>
          <w:bCs/>
          <w:i/>
        </w:rPr>
        <w:t xml:space="preserve"> </w:t>
      </w:r>
      <w:r w:rsidR="000B7DDD" w:rsidRPr="00883818">
        <w:t>dăunător al culturilor</w:t>
      </w:r>
      <w:r w:rsidR="006B4D7C" w:rsidRPr="00883818">
        <w:t xml:space="preserve"> de legume din sere şi solarii. Ciclul de evoluţie al insectei se derulează pe partea inferioară a frunzelor, de unde larvele şi</w:t>
      </w:r>
      <w:r w:rsidR="000B7DDD" w:rsidRPr="00883818">
        <w:t xml:space="preserve"> </w:t>
      </w:r>
      <w:r w:rsidR="006B4D7C" w:rsidRPr="00883818">
        <w:t>adulţii absorb prin înţepare sucul celular.</w:t>
      </w:r>
      <w:r w:rsidR="00640583" w:rsidRPr="00883818">
        <w:t xml:space="preserve"> P</w:t>
      </w:r>
      <w:r w:rsidR="006B4D7C" w:rsidRPr="00883818">
        <w:t>lantele</w:t>
      </w:r>
      <w:r w:rsidR="00640583" w:rsidRPr="00883818">
        <w:t xml:space="preserve"> atacate</w:t>
      </w:r>
      <w:r w:rsidR="006B4D7C" w:rsidRPr="00883818">
        <w:t xml:space="preserve"> se dezvoltă cu întârziere şi dau producţii scăzute.</w:t>
      </w:r>
      <w:r w:rsidR="000B7DDD" w:rsidRPr="00883818">
        <w:t xml:space="preserve"> </w:t>
      </w:r>
      <w:r w:rsidR="006B4D7C" w:rsidRPr="00883818">
        <w:t xml:space="preserve">Atacul este însoţit de secreţii aderente la substrat, pe care, secundar, se dezvoltă fumagina. Culturile atacate au aspect </w:t>
      </w:r>
      <w:r w:rsidR="00883818" w:rsidRPr="00883818">
        <w:t>deteriorat</w:t>
      </w:r>
      <w:r w:rsidR="006B4D7C" w:rsidRPr="00883818">
        <w:t>.</w:t>
      </w:r>
      <w:r w:rsidR="000B7DDD" w:rsidRPr="00883818">
        <w:t xml:space="preserve"> </w:t>
      </w:r>
      <w:r w:rsidR="006B4D7C" w:rsidRPr="00883818">
        <w:t>Este un dăunător cu potenţial ridicat de reproducere, prezintă 4</w:t>
      </w:r>
      <w:r w:rsidR="00E76489" w:rsidRPr="00883818">
        <w:t xml:space="preserve"> </w:t>
      </w:r>
      <w:r w:rsidR="006B4D7C" w:rsidRPr="00883818">
        <w:t>-</w:t>
      </w:r>
      <w:r w:rsidR="00E76489" w:rsidRPr="00883818">
        <w:t xml:space="preserve"> </w:t>
      </w:r>
      <w:r w:rsidR="006B4D7C" w:rsidRPr="00883818">
        <w:t>8 generaţii de adulţi</w:t>
      </w:r>
      <w:r w:rsidR="00E76489" w:rsidRPr="00883818">
        <w:t xml:space="preserve"> </w:t>
      </w:r>
      <w:r w:rsidR="0089009C" w:rsidRPr="00883818">
        <w:t>/an</w:t>
      </w:r>
      <w:r w:rsidR="00E76489" w:rsidRPr="00883818">
        <w:t xml:space="preserve"> </w:t>
      </w:r>
      <w:r w:rsidR="006B4D7C" w:rsidRPr="00883818">
        <w:t>şi o prolificitate variind între 500 - 1500 de ouă</w:t>
      </w:r>
      <w:r w:rsidR="00E76489" w:rsidRPr="00883818">
        <w:t xml:space="preserve">. </w:t>
      </w:r>
      <w:r w:rsidR="0089009C" w:rsidRPr="00883818">
        <w:rPr>
          <w:color w:val="000000"/>
          <w:shd w:val="clear" w:color="auto" w:fill="FFFFFF"/>
        </w:rPr>
        <w:t>C</w:t>
      </w:r>
      <w:r w:rsidR="00640583" w:rsidRPr="00883818">
        <w:rPr>
          <w:color w:val="000000"/>
          <w:shd w:val="clear" w:color="auto" w:fill="FFFFFF"/>
        </w:rPr>
        <w:t>iclu</w:t>
      </w:r>
      <w:r w:rsidR="00E76489" w:rsidRPr="00883818">
        <w:rPr>
          <w:color w:val="000000"/>
          <w:shd w:val="clear" w:color="auto" w:fill="FFFFFF"/>
        </w:rPr>
        <w:t>l</w:t>
      </w:r>
      <w:r w:rsidR="00640583" w:rsidRPr="00883818">
        <w:rPr>
          <w:color w:val="000000"/>
          <w:shd w:val="clear" w:color="auto" w:fill="FFFFFF"/>
        </w:rPr>
        <w:t xml:space="preserve"> de dezvoltare, la temperatura de 21</w:t>
      </w:r>
      <w:r w:rsidR="00E76489" w:rsidRPr="00883818">
        <w:rPr>
          <w:color w:val="000000"/>
          <w:shd w:val="clear" w:color="auto" w:fill="FFFFFF"/>
        </w:rPr>
        <w:t xml:space="preserve"> </w:t>
      </w:r>
      <w:r w:rsidR="0089009C" w:rsidRPr="00883818">
        <w:rPr>
          <w:color w:val="000000"/>
          <w:shd w:val="clear" w:color="auto" w:fill="FFFFFF"/>
          <w:vertAlign w:val="superscript"/>
        </w:rPr>
        <w:t>o</w:t>
      </w:r>
      <w:r w:rsidR="00640583" w:rsidRPr="00883818">
        <w:rPr>
          <w:color w:val="000000"/>
          <w:shd w:val="clear" w:color="auto" w:fill="FFFFFF"/>
        </w:rPr>
        <w:t>C, este de 3 s</w:t>
      </w:r>
      <w:r w:rsidR="00E76489" w:rsidRPr="00883818">
        <w:rPr>
          <w:color w:val="000000"/>
          <w:shd w:val="clear" w:color="auto" w:fill="FFFFFF"/>
        </w:rPr>
        <w:t>ă</w:t>
      </w:r>
      <w:r w:rsidR="00640583" w:rsidRPr="00883818">
        <w:rPr>
          <w:color w:val="000000"/>
          <w:shd w:val="clear" w:color="auto" w:fill="FFFFFF"/>
        </w:rPr>
        <w:t>pt</w:t>
      </w:r>
      <w:r w:rsidR="00E76489" w:rsidRPr="00883818">
        <w:rPr>
          <w:color w:val="000000"/>
          <w:shd w:val="clear" w:color="auto" w:fill="FFFFFF"/>
        </w:rPr>
        <w:t>ă</w:t>
      </w:r>
      <w:r w:rsidR="00640583" w:rsidRPr="00883818">
        <w:rPr>
          <w:color w:val="000000"/>
          <w:shd w:val="clear" w:color="auto" w:fill="FFFFFF"/>
        </w:rPr>
        <w:t>m</w:t>
      </w:r>
      <w:r w:rsidR="00E76489" w:rsidRPr="00883818">
        <w:rPr>
          <w:color w:val="000000"/>
          <w:shd w:val="clear" w:color="auto" w:fill="FFFFFF"/>
        </w:rPr>
        <w:t>â</w:t>
      </w:r>
      <w:r w:rsidR="00640583" w:rsidRPr="00883818">
        <w:rPr>
          <w:color w:val="000000"/>
          <w:shd w:val="clear" w:color="auto" w:fill="FFFFFF"/>
        </w:rPr>
        <w:t>ni. Cu c</w:t>
      </w:r>
      <w:r w:rsidR="00E76489" w:rsidRPr="00883818">
        <w:rPr>
          <w:color w:val="000000"/>
          <w:shd w:val="clear" w:color="auto" w:fill="FFFFFF"/>
        </w:rPr>
        <w:t>â</w:t>
      </w:r>
      <w:r w:rsidR="00640583" w:rsidRPr="00883818">
        <w:rPr>
          <w:color w:val="000000"/>
          <w:shd w:val="clear" w:color="auto" w:fill="FFFFFF"/>
        </w:rPr>
        <w:t>t temperatura este mai mare cu at</w:t>
      </w:r>
      <w:r w:rsidR="00E76489" w:rsidRPr="00883818">
        <w:rPr>
          <w:color w:val="000000"/>
          <w:shd w:val="clear" w:color="auto" w:fill="FFFFFF"/>
        </w:rPr>
        <w:t>â</w:t>
      </w:r>
      <w:r w:rsidR="00640583" w:rsidRPr="00883818">
        <w:rPr>
          <w:color w:val="000000"/>
          <w:shd w:val="clear" w:color="auto" w:fill="FFFFFF"/>
        </w:rPr>
        <w:t>t ciclul de dezvoltare se desf</w:t>
      </w:r>
      <w:r w:rsidR="00E76489" w:rsidRPr="00883818">
        <w:rPr>
          <w:color w:val="000000"/>
          <w:shd w:val="clear" w:color="auto" w:fill="FFFFFF"/>
        </w:rPr>
        <w:t>ă</w:t>
      </w:r>
      <w:r w:rsidR="00640583" w:rsidRPr="00883818">
        <w:rPr>
          <w:color w:val="000000"/>
          <w:shd w:val="clear" w:color="auto" w:fill="FFFFFF"/>
        </w:rPr>
        <w:t>soar</w:t>
      </w:r>
      <w:r w:rsidR="00E76489" w:rsidRPr="00883818">
        <w:rPr>
          <w:color w:val="000000"/>
          <w:shd w:val="clear" w:color="auto" w:fill="FFFFFF"/>
        </w:rPr>
        <w:t>ă</w:t>
      </w:r>
      <w:r w:rsidR="00640583" w:rsidRPr="00883818">
        <w:rPr>
          <w:color w:val="000000"/>
          <w:shd w:val="clear" w:color="auto" w:fill="FFFFFF"/>
        </w:rPr>
        <w:t xml:space="preserve"> mai rapid. </w:t>
      </w:r>
      <w:r w:rsidR="00E76489" w:rsidRPr="00883818">
        <w:rPr>
          <w:color w:val="000000"/>
          <w:shd w:val="clear" w:color="auto" w:fill="FFFFFF"/>
        </w:rPr>
        <w:t>Î</w:t>
      </w:r>
      <w:r w:rsidR="00640583" w:rsidRPr="00883818">
        <w:rPr>
          <w:color w:val="000000"/>
          <w:shd w:val="clear" w:color="auto" w:fill="FFFFFF"/>
        </w:rPr>
        <w:t>n general genera</w:t>
      </w:r>
      <w:r w:rsidR="00E76489" w:rsidRPr="00883818">
        <w:rPr>
          <w:color w:val="000000"/>
          <w:shd w:val="clear" w:color="auto" w:fill="FFFFFF"/>
        </w:rPr>
        <w:t>ț</w:t>
      </w:r>
      <w:r w:rsidR="00640583" w:rsidRPr="00883818">
        <w:rPr>
          <w:color w:val="000000"/>
          <w:shd w:val="clear" w:color="auto" w:fill="FFFFFF"/>
        </w:rPr>
        <w:t xml:space="preserve">iile se suprapun, astfel </w:t>
      </w:r>
      <w:r w:rsidR="00E76489" w:rsidRPr="00883818">
        <w:rPr>
          <w:color w:val="000000"/>
          <w:shd w:val="clear" w:color="auto" w:fill="FFFFFF"/>
        </w:rPr>
        <w:t>î</w:t>
      </w:r>
      <w:r w:rsidR="00640583" w:rsidRPr="00883818">
        <w:rPr>
          <w:color w:val="000000"/>
          <w:shd w:val="clear" w:color="auto" w:fill="FFFFFF"/>
        </w:rPr>
        <w:t>nc</w:t>
      </w:r>
      <w:r w:rsidR="00E76489" w:rsidRPr="00883818">
        <w:rPr>
          <w:color w:val="000000"/>
          <w:shd w:val="clear" w:color="auto" w:fill="FFFFFF"/>
        </w:rPr>
        <w:t>â</w:t>
      </w:r>
      <w:r w:rsidR="00640583" w:rsidRPr="00883818">
        <w:rPr>
          <w:color w:val="000000"/>
          <w:shd w:val="clear" w:color="auto" w:fill="FFFFFF"/>
        </w:rPr>
        <w:t xml:space="preserve">t </w:t>
      </w:r>
      <w:r w:rsidR="00E76489" w:rsidRPr="00883818">
        <w:rPr>
          <w:color w:val="000000"/>
          <w:shd w:val="clear" w:color="auto" w:fill="FFFFFF"/>
        </w:rPr>
        <w:t>î</w:t>
      </w:r>
      <w:r w:rsidR="00640583" w:rsidRPr="00883818">
        <w:rPr>
          <w:color w:val="000000"/>
          <w:shd w:val="clear" w:color="auto" w:fill="FFFFFF"/>
        </w:rPr>
        <w:t xml:space="preserve">n tot timpul anului se pot </w:t>
      </w:r>
      <w:r w:rsidR="00883818" w:rsidRPr="00883818">
        <w:rPr>
          <w:color w:val="000000"/>
          <w:shd w:val="clear" w:color="auto" w:fill="FFFFFF"/>
        </w:rPr>
        <w:t>î</w:t>
      </w:r>
      <w:r w:rsidR="00640583" w:rsidRPr="00883818">
        <w:rPr>
          <w:color w:val="000000"/>
          <w:shd w:val="clear" w:color="auto" w:fill="FFFFFF"/>
        </w:rPr>
        <w:t>nt</w:t>
      </w:r>
      <w:r w:rsidR="00E76489" w:rsidRPr="00883818">
        <w:rPr>
          <w:color w:val="000000"/>
          <w:shd w:val="clear" w:color="auto" w:fill="FFFFFF"/>
        </w:rPr>
        <w:t>â</w:t>
      </w:r>
      <w:r w:rsidR="00640583" w:rsidRPr="00883818">
        <w:rPr>
          <w:color w:val="000000"/>
          <w:shd w:val="clear" w:color="auto" w:fill="FFFFFF"/>
        </w:rPr>
        <w:t>nli toate stadiile de dezvoltare ale insectei</w:t>
      </w:r>
      <w:r w:rsidR="006B4D7C" w:rsidRPr="00883818">
        <w:t>. Specie cu rezistenţă dobândită l</w:t>
      </w:r>
      <w:r w:rsidR="0089009C" w:rsidRPr="00883818">
        <w:t>a acţiunea diferitelor produse de protecți</w:t>
      </w:r>
      <w:r w:rsidR="00E76489" w:rsidRPr="00883818">
        <w:t xml:space="preserve">e </w:t>
      </w:r>
      <w:r w:rsidR="0089009C" w:rsidRPr="00883818">
        <w:t>a plantelor</w:t>
      </w:r>
      <w:r w:rsidR="006B4D7C" w:rsidRPr="00883818">
        <w:t>.</w:t>
      </w:r>
    </w:p>
    <w:p w:rsidR="0089009C" w:rsidRPr="00883818" w:rsidRDefault="0030721B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  <w:sectPr w:rsidR="0089009C" w:rsidRPr="00883818" w:rsidSect="005F6538">
          <w:type w:val="continuous"/>
          <w:pgSz w:w="11906" w:h="16838"/>
          <w:pgMar w:top="567" w:right="454" w:bottom="567" w:left="964" w:header="284" w:footer="284" w:gutter="0"/>
          <w:cols w:num="2" w:space="710" w:equalWidth="0">
            <w:col w:w="2864" w:space="141"/>
            <w:col w:w="7483"/>
          </w:cols>
          <w:docGrid w:linePitch="360"/>
        </w:sectPr>
      </w:pP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dultul are culoarea g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lbuie, de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1,2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-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1,6 mm lungime,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corpul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mpreun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cu aripile, picioarele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i antenele sunt acoperite de o secre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ie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pulverulent</w:t>
      </w:r>
      <w:r w:rsidR="006B4D7C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un alb imaculat, ochi rubinii. Atacul poate fi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nt</w:t>
      </w:r>
      <w:r w:rsidR="006B4D7C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â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lnit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n culturile de </w:t>
      </w:r>
      <w:r w:rsidR="006B4D7C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legume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n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sere 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i solarii.</w:t>
      </w:r>
    </w:p>
    <w:p w:rsidR="000A78EF" w:rsidRPr="00883818" w:rsidRDefault="0030721B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Tripsul tutunului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Thrips tabaci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E76489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0A78EF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un dăunător deosebit de periculos atât prin acțiunea directă cât și prin cea indirectă (vector</w:t>
      </w:r>
      <w:r w:rsidR="00E76489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0A78EF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alături de afide </w:t>
      </w:r>
      <w:r w:rsidR="00E76489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transmiterea virozelor). </w:t>
      </w:r>
      <w:r w:rsidR="000A78EF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Insecta se hrănește cu polen sau suge seva din organele plantelor. </w:t>
      </w:r>
    </w:p>
    <w:p w:rsidR="008952A1" w:rsidRPr="00883818" w:rsidRDefault="000A78EF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8952A1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dultul are culoarea galben</w:t>
      </w:r>
      <w:r w:rsidR="00C411F7" w:rsidRPr="00883818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E76489" w:rsidRPr="0088381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cenusie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sau galben –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brunie.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Capul este mai lat dec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t lung,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aripile anterioare sunt g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lbui.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Larva 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lastRenderedPageBreak/>
        <w:t>se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>mănă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insecta adult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, la completa dezvoltare,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nd culoarea galben –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deschis. Insecta ierneaz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n stadiul de adult,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n stratul superficial al solului.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prim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var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adul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i larvele se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lastRenderedPageBreak/>
        <w:t>localizeaz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pe frunze,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stari 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 pe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inflorescen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e,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eap</w:t>
      </w:r>
      <w:r w:rsidR="00C411F7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și sug sucul celular.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În jurul locului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6489" w:rsidRPr="00883818">
        <w:rPr>
          <w:rFonts w:ascii="Times New Roman" w:hAnsi="Times New Roman" w:cs="Times New Roman"/>
          <w:sz w:val="24"/>
          <w:szCs w:val="24"/>
          <w:lang w:val="ro-RO"/>
        </w:rPr>
        <w:t>înț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epa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apar pete galbene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cenu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ii sau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castanii,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dispuse de-a lungul nervurilor. La un atac puternic plantele se usuc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B29C3" w:rsidRPr="00883818" w:rsidRDefault="00AE4A1D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i/>
          <w:iCs/>
          <w:noProof/>
          <w:sz w:val="24"/>
          <w:szCs w:val="24"/>
          <w:lang w:val="ro-RO" w:eastAsia="ro-RO"/>
        </w:rPr>
        <w:drawing>
          <wp:inline distT="0" distB="0" distL="0" distR="0">
            <wp:extent cx="2141220" cy="1530350"/>
            <wp:effectExtent l="19050" t="0" r="0" b="0"/>
            <wp:docPr id="6" name="Imagine 5" descr="tripsul-californ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psul-california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8EF" w:rsidRPr="00883818" w:rsidRDefault="000A78EF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0A78EF" w:rsidRPr="00883818" w:rsidRDefault="000A78EF" w:rsidP="00883818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  <w:sectPr w:rsidR="000A78EF" w:rsidRPr="00883818" w:rsidSect="005F6538">
          <w:type w:val="continuous"/>
          <w:pgSz w:w="11906" w:h="16838"/>
          <w:pgMar w:top="567" w:right="454" w:bottom="567" w:left="964" w:header="284" w:footer="284" w:gutter="0"/>
          <w:cols w:num="2" w:space="710" w:equalWidth="0">
            <w:col w:w="6974" w:space="142"/>
            <w:col w:w="3372"/>
          </w:cols>
          <w:docGrid w:linePitch="360"/>
        </w:sectPr>
      </w:pPr>
    </w:p>
    <w:p w:rsidR="00235D64" w:rsidRPr="00883818" w:rsidRDefault="00235D64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952A1" w:rsidRPr="00883818" w:rsidRDefault="003A6B74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Pentru combaterea dăunătorilor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e recomand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efectuarea tratamentelor fitosanitare cu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unul din produsele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982BF4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6263AE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F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FIRM</w:t>
      </w:r>
      <w:r w:rsidR="006263AE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TOP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- 1,5 kg/ha</w:t>
      </w:r>
      <w:r w:rsidR="00FF021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F021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="006263AE" w:rsidRPr="00883818">
        <w:rPr>
          <w:rFonts w:ascii="Times New Roman" w:hAnsi="Times New Roman" w:cs="Times New Roman"/>
          <w:i/>
          <w:sz w:val="24"/>
          <w:szCs w:val="24"/>
          <w:lang w:val="ro-RO"/>
        </w:rPr>
        <w:t>Tuta absoluta, Helicoverpa arm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>igera</w:t>
      </w:r>
      <w:r w:rsidR="0007502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6263AE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Spodoptera sp., Autographa gamma </w:t>
      </w:r>
      <w:r w:rsidR="006263AE" w:rsidRPr="0088381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6263AE" w:rsidRPr="00883818">
        <w:rPr>
          <w:rFonts w:ascii="Times New Roman" w:hAnsi="Times New Roman" w:cs="Times New Roman"/>
          <w:i/>
          <w:sz w:val="24"/>
          <w:szCs w:val="24"/>
          <w:lang w:val="ro-RO"/>
        </w:rPr>
        <w:t>syn. Plusia g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>amma</w:t>
      </w:r>
      <w:r w:rsidR="006263AE" w:rsidRPr="0088381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6263AE" w:rsidRPr="00883818">
        <w:rPr>
          <w:rFonts w:ascii="Times New Roman" w:hAnsi="Times New Roman" w:cs="Times New Roman"/>
          <w:i/>
          <w:sz w:val="24"/>
          <w:szCs w:val="24"/>
          <w:lang w:val="ro-RO"/>
        </w:rPr>
        <w:t>, Agrotis sp.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sau</w:t>
      </w:r>
    </w:p>
    <w:p w:rsidR="00003814" w:rsidRPr="00883818" w:rsidRDefault="003C6345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SIVANTO PRIME 200 SL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Aphis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gossypii,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Myzus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persicae, Macrosiphum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euphorbiae)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; (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Bemisia t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>abaci</w:t>
      </w:r>
      <w:r w:rsidRPr="00883818">
        <w:rPr>
          <w:rFonts w:ascii="Times New Roman" w:hAnsi="Times New Roman" w:cs="Times New Roman"/>
          <w:i/>
          <w:sz w:val="24"/>
          <w:szCs w:val="24"/>
          <w:lang w:val="ro-RO"/>
        </w:rPr>
        <w:t>, Trialeurodes v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ro-RO"/>
        </w:rPr>
        <w:t>aporariorum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- 0,56 l/ha</w:t>
      </w:r>
      <w:r w:rsidR="00FF0211" w:rsidRPr="00883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7502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(plante cu 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75021" w:rsidRPr="00883818">
        <w:rPr>
          <w:rFonts w:ascii="Times New Roman" w:hAnsi="Times New Roman" w:cs="Times New Roman"/>
          <w:sz w:val="24"/>
          <w:szCs w:val="24"/>
          <w:lang w:val="ro-RO"/>
        </w:rPr>
        <w:t>nalțime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de 1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m 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n maxim 200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F021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1000 l</w:t>
      </w:r>
      <w:r w:rsidR="00982BF4" w:rsidRPr="00883818">
        <w:rPr>
          <w:rFonts w:ascii="Times New Roman" w:hAnsi="Times New Roman" w:cs="Times New Roman"/>
          <w:sz w:val="24"/>
          <w:szCs w:val="24"/>
          <w:lang w:val="ro-RO"/>
        </w:rPr>
        <w:t>itri apă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) sau </w:t>
      </w:r>
    </w:p>
    <w:p w:rsidR="00003814" w:rsidRPr="00883818" w:rsidRDefault="006C23CE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DELTAGRI  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83818">
        <w:rPr>
          <w:rFonts w:ascii="Times New Roman" w:hAnsi="Times New Roman" w:cs="Times New Roman"/>
          <w:i/>
          <w:sz w:val="24"/>
          <w:szCs w:val="24"/>
          <w:lang w:val="pt-BR"/>
        </w:rPr>
        <w:t>Trialeurodes v</w:t>
      </w:r>
      <w:r w:rsidR="00CB4EC6" w:rsidRPr="00883818">
        <w:rPr>
          <w:rFonts w:ascii="Times New Roman" w:hAnsi="Times New Roman" w:cs="Times New Roman"/>
          <w:i/>
          <w:sz w:val="24"/>
          <w:szCs w:val="24"/>
          <w:lang w:val="pt-BR"/>
        </w:rPr>
        <w:t>aporariorum</w:t>
      </w:r>
      <w:r w:rsidR="00FF0211" w:rsidRPr="00883818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88381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Myzus p</w:t>
      </w:r>
      <w:r w:rsidR="00CB4EC6" w:rsidRPr="00883818">
        <w:rPr>
          <w:rFonts w:ascii="Times New Roman" w:hAnsi="Times New Roman" w:cs="Times New Roman"/>
          <w:i/>
          <w:sz w:val="24"/>
          <w:szCs w:val="24"/>
          <w:lang w:val="pt-BR"/>
        </w:rPr>
        <w:t>ersicae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88381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CB4EC6"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0,5 l/ha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sau</w:t>
      </w:r>
    </w:p>
    <w:p w:rsidR="008952A1" w:rsidRPr="00883818" w:rsidRDefault="006263AE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POLECI 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30 - 50 ml</w:t>
      </w:r>
      <w:r w:rsidR="00FF0211"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/hl ap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ă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(0,03</w:t>
      </w:r>
      <w:r w:rsidR="00FF0211"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="00FF0211"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pt-BR"/>
        </w:rPr>
        <w:t>0,05 %)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(Afide, trip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i, musculi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a alb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de sear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pt-BR"/>
        </w:rPr>
        <w:t>sau</w:t>
      </w:r>
      <w:r w:rsidR="00FF0211"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952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alte </w:t>
      </w:r>
      <w:r w:rsidR="00FF021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produse de protecție a plantelor,</w:t>
      </w:r>
      <w:r w:rsidR="008952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omologate, pentru a fi utilizate pe teritoriul Romaniei.</w:t>
      </w:r>
    </w:p>
    <w:p w:rsidR="00FF0211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Tratamentul se va complexa cu fungicide</w:t>
      </w:r>
      <w:r w:rsidR="00FF0211" w:rsidRPr="00883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pentru combaterea bolilor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3A6B74" w:rsidRPr="00883818" w:rsidRDefault="009A66BD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sz w:val="24"/>
          <w:szCs w:val="24"/>
          <w:lang w:val="ro-RO"/>
        </w:rPr>
        <w:t>mana</w:t>
      </w:r>
      <w:r w:rsidR="00FF0211" w:rsidRPr="008838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952A1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P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hytophtora i</w:t>
      </w:r>
      <w:r w:rsidR="00CB4EC6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.</w:t>
      </w:r>
      <w:r w:rsidR="008952A1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)</w:t>
      </w:r>
      <w:r w:rsidR="008952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="00CB4EC6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tarea bacterian</w:t>
      </w:r>
      <w:r w:rsidR="00847F82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punctiform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ă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Pseudomonas</w:t>
      </w:r>
      <w:r w:rsidR="00CB4EC6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spp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;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7C4B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pătarea 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107C4B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i bășicarea frunzelor (</w:t>
      </w:r>
      <w:r w:rsidR="00107C4B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Xanthomonas v.), </w:t>
      </w:r>
      <w:r w:rsidR="00107C4B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făinarea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7F82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="00107C4B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Leveilulla</w:t>
      </w:r>
      <w:r w:rsidR="00847F82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t</w:t>
      </w:r>
      <w:r w:rsidR="00CB4EC6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.</w:t>
      </w:r>
      <w:r w:rsidR="00847F82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CB4EC6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</w:t>
      </w:r>
      <w:r w:rsidR="00847F82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: </w:t>
      </w:r>
    </w:p>
    <w:p w:rsidR="005B4E88" w:rsidRPr="00883818" w:rsidRDefault="008952A1" w:rsidP="008838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ORTIVA TOP – 0,1 %</w:t>
      </w:r>
      <w:r w:rsidR="005B4E88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B4E88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(1 l/ha)</w:t>
      </w:r>
      <w:r w:rsidR="00CB4EC6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B4E88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Putregaiul cenusiu, mana, p</w:t>
      </w:r>
      <w:r w:rsidR="00CB4EC6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tarea cafenie, f</w:t>
      </w:r>
      <w:r w:rsidR="00CB4EC6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inarea</w:t>
      </w:r>
      <w:r w:rsidR="00CB4EC6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alternarioza) </w:t>
      </w: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sau</w:t>
      </w:r>
      <w:r w:rsidR="00883818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TOPAS 100 EC – 0,35- 0,5 l/ha</w:t>
      </w:r>
      <w:r w:rsidR="005B4E88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(făinarea -</w:t>
      </w:r>
      <w:r w:rsidR="005B4E88" w:rsidRPr="00883818">
        <w:rPr>
          <w:rFonts w:ascii="Times New Roman" w:hAnsi="Times New Roman" w:cs="Times New Roman"/>
          <w:bCs/>
          <w:i/>
          <w:sz w:val="24"/>
          <w:szCs w:val="24"/>
          <w:lang w:val="ro-RO"/>
        </w:rPr>
        <w:t>Leveilulla t.</w:t>
      </w:r>
      <w:r w:rsidR="005B4E88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3A6B74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sau </w:t>
      </w:r>
    </w:p>
    <w:p w:rsidR="005B4E88" w:rsidRPr="00883818" w:rsidRDefault="008952A1" w:rsidP="008838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ALCUPRAL 50 PU – </w:t>
      </w:r>
      <w:r w:rsidR="005B4E88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1,5 -2,0 kg/ha  (</w:t>
      </w:r>
      <w:r w:rsidR="005B4E88" w:rsidRPr="00883818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Phytophtorainfestans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-mana, </w:t>
      </w:r>
      <w:r w:rsidR="005B4E88" w:rsidRPr="00883818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Alternariasolani</w:t>
      </w:r>
      <w:r w:rsidR="005B4E88" w:rsidRPr="0088381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alternarioza tomatelor</w:t>
      </w:r>
    </w:p>
    <w:p w:rsidR="008952A1" w:rsidRPr="00883818" w:rsidRDefault="003A6B74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bCs/>
          <w:sz w:val="24"/>
          <w:szCs w:val="24"/>
          <w:lang w:val="ro-RO"/>
        </w:rPr>
        <w:t>sau</w:t>
      </w:r>
      <w:r w:rsidR="00CB4EC6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alte </w:t>
      </w:r>
      <w:r w:rsidR="00107C4B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CB4EC6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roduse de protecție a </w:t>
      </w:r>
      <w:r w:rsidR="00107C4B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753BD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lantelor, </w:t>
      </w:r>
      <w:r w:rsidR="008952A1" w:rsidRPr="00883818">
        <w:rPr>
          <w:rFonts w:ascii="Times New Roman" w:hAnsi="Times New Roman" w:cs="Times New Roman"/>
          <w:bCs/>
          <w:sz w:val="24"/>
          <w:szCs w:val="24"/>
          <w:lang w:val="ro-RO"/>
        </w:rPr>
        <w:t>omologate pentru a fi utilizate pe teritoriul Romaniei.</w:t>
      </w:r>
    </w:p>
    <w:p w:rsidR="008952A1" w:rsidRPr="00883818" w:rsidRDefault="0011260E" w:rsidP="00883818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83818">
        <w:rPr>
          <w:rFonts w:ascii="Times New Roman" w:hAnsi="Times New Roman" w:cs="Times New Roman"/>
          <w:sz w:val="24"/>
          <w:szCs w:val="24"/>
          <w:lang w:val="pt-BR"/>
        </w:rPr>
        <w:t xml:space="preserve">Măsuri alternative de combatere: mecanice; fizice; biologice.                                                                     Metode durabile: biologice, fizice, mecanice și alte metode nechimice trebuie preferate metodelor chimice, dacă acestea asigură un control corespunzător al organismelor dăunătoare.                                                      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Alte recomand</w:t>
      </w:r>
      <w:r w:rsidR="003A6B74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>ri:</w:t>
      </w:r>
      <w:r w:rsidR="00753BD1" w:rsidRPr="00883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Folosirea capcanelor lipicioase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 a celor cu feromoni pentru capturarea d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unatorilor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 intreruperea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inmul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irii;</w:t>
      </w:r>
    </w:p>
    <w:p w:rsidR="008952A1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Tratamentul se va aplica la depistarea d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unatorilor cu repetare la 8 – 10 zile altern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nd produsele cu ac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iune</w:t>
      </w:r>
      <w:r w:rsid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sistemic</w:t>
      </w:r>
      <w:r w:rsid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 de contact.</w:t>
      </w:r>
    </w:p>
    <w:p w:rsidR="008952A1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Utiliza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saduri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ănă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toase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care provin din zone l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ibere de dă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unatori!</w:t>
      </w:r>
    </w:p>
    <w:p w:rsidR="008952A1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Eliminarea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 distrugerea imediat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a plantelor dac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se observ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un atac izolat!</w:t>
      </w:r>
    </w:p>
    <w:p w:rsidR="008952A1" w:rsidRPr="00883818" w:rsidRDefault="008952A1" w:rsidP="0088381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Eliminarea buruienilor care ar putea fi gazde pentru molia miner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t din cultura cat si din zona apropiat</w:t>
      </w:r>
      <w:r w:rsidR="00107C4B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Respectarea asolamentului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 evitarea monoculturii!</w:t>
      </w:r>
    </w:p>
    <w:p w:rsidR="008952A1" w:rsidRPr="00883818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Asigurarea etan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eit</w:t>
      </w:r>
      <w:r w:rsidR="008438E0" w:rsidRPr="00883818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ii spa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iilor protejate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 utilizarea plaselor de insecte!</w:t>
      </w:r>
    </w:p>
    <w:p w:rsidR="008952A1" w:rsidRPr="00883818" w:rsidRDefault="008438E0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mulgerea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952A1" w:rsidRPr="00883818">
        <w:rPr>
          <w:rFonts w:ascii="Times New Roman" w:hAnsi="Times New Roman" w:cs="Times New Roman"/>
          <w:sz w:val="24"/>
          <w:szCs w:val="24"/>
          <w:lang w:val="ro-RO"/>
        </w:rPr>
        <w:t>i distrugerea prin ardere a plantelor suspecte a fi infestate!</w:t>
      </w:r>
    </w:p>
    <w:p w:rsidR="008952A1" w:rsidRDefault="008952A1" w:rsidP="008838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sz w:val="24"/>
          <w:szCs w:val="24"/>
          <w:lang w:val="ro-RO"/>
        </w:rPr>
        <w:t>Verificati, recomand</w:t>
      </w:r>
      <w:r w:rsidR="008438E0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rile </w:t>
      </w:r>
      <w:r w:rsidR="00556A13" w:rsidRPr="00883818">
        <w:rPr>
          <w:rFonts w:ascii="Times New Roman" w:hAnsi="Times New Roman" w:cs="Times New Roman"/>
          <w:sz w:val="24"/>
          <w:szCs w:val="24"/>
          <w:lang w:val="ro-RO"/>
        </w:rPr>
        <w:t>referitoare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la compatibilitatea produselor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nd inten</w:t>
      </w:r>
      <w:r w:rsidR="008438E0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iona</w:t>
      </w:r>
      <w:r w:rsidR="008438E0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 s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aplica</w:t>
      </w:r>
      <w:r w:rsidR="008438E0" w:rsidRPr="0088381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818">
        <w:rPr>
          <w:rFonts w:ascii="Times New Roman" w:hAnsi="Times New Roman" w:cs="Times New Roman"/>
          <w:sz w:val="24"/>
          <w:szCs w:val="24"/>
          <w:lang w:val="ro-RO"/>
        </w:rPr>
        <w:t xml:space="preserve">amestecuri  </w:t>
      </w:r>
      <w:r w:rsidR="00753BD1" w:rsidRPr="00883818">
        <w:rPr>
          <w:rFonts w:ascii="Times New Roman" w:hAnsi="Times New Roman" w:cs="Times New Roman"/>
          <w:sz w:val="24"/>
          <w:szCs w:val="24"/>
          <w:lang w:val="ro-RO"/>
        </w:rPr>
        <w:t>de produse de protecție a plantelor.</w:t>
      </w:r>
    </w:p>
    <w:p w:rsidR="00883818" w:rsidRPr="00302720" w:rsidRDefault="00883818" w:rsidP="0088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:rsidR="00883818" w:rsidRPr="00302720" w:rsidRDefault="00883818" w:rsidP="0088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:rsidR="00883818" w:rsidRPr="00302720" w:rsidRDefault="00883818" w:rsidP="0088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883818" w:rsidRPr="00302720" w:rsidRDefault="00883818" w:rsidP="0088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Nume și prenume fermier/ societate comercială…...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Domiciliu fermier/sediul social al societății……. (Comuna, județul)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Ferma (nume/număr,adresa)…….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n: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883818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883818" w:rsidRPr="00302720" w:rsidRDefault="00883818" w:rsidP="00F806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consumpopulației</w:t>
            </w:r>
          </w:p>
        </w:tc>
      </w:tr>
      <w:tr w:rsidR="00883818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883818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883818" w:rsidRPr="00302720" w:rsidRDefault="00883818" w:rsidP="00F8068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883818" w:rsidRPr="00302720" w:rsidRDefault="00883818" w:rsidP="0088381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883818" w:rsidRPr="00302720" w:rsidRDefault="00883818" w:rsidP="00883818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2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:rsidR="00883818" w:rsidRPr="00883818" w:rsidRDefault="00883818" w:rsidP="0088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1198" w:rsidRPr="00883818" w:rsidRDefault="001D1198" w:rsidP="004E76A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83818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5672137" cy="1428310"/>
            <wp:effectExtent l="19050" t="0" r="4763" b="0"/>
            <wp:docPr id="17049107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286" cy="142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FD" w:rsidRPr="00883818" w:rsidRDefault="00367CFD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367CFD" w:rsidRPr="00883818" w:rsidRDefault="00367CFD" w:rsidP="00E94A46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67CFD" w:rsidRPr="00883818" w:rsidSect="005F6538">
      <w:type w:val="continuous"/>
      <w:pgSz w:w="11906" w:h="16838"/>
      <w:pgMar w:top="567" w:right="454" w:bottom="567" w:left="96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FC" w:rsidRDefault="00836CFC" w:rsidP="00367CFD">
      <w:pPr>
        <w:spacing w:after="0" w:line="240" w:lineRule="auto"/>
      </w:pPr>
      <w:r>
        <w:separator/>
      </w:r>
    </w:p>
  </w:endnote>
  <w:endnote w:type="continuationSeparator" w:id="1">
    <w:p w:rsidR="00836CFC" w:rsidRDefault="00836CFC" w:rsidP="0036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FC" w:rsidRDefault="00836CFC" w:rsidP="00367CFD">
      <w:pPr>
        <w:spacing w:after="0" w:line="240" w:lineRule="auto"/>
      </w:pPr>
      <w:r>
        <w:separator/>
      </w:r>
    </w:p>
  </w:footnote>
  <w:footnote w:type="continuationSeparator" w:id="1">
    <w:p w:rsidR="00836CFC" w:rsidRDefault="00836CFC" w:rsidP="0036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114"/>
      <w:gridCol w:w="7129"/>
    </w:tblGrid>
    <w:tr w:rsidR="004E76A1" w:rsidRPr="000402AF" w:rsidTr="00A36FD8">
      <w:trPr>
        <w:trHeight w:val="841"/>
        <w:jc w:val="center"/>
      </w:trPr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E76A1" w:rsidRPr="00941908" w:rsidRDefault="004E76A1" w:rsidP="00A36FD8">
          <w:pPr>
            <w:pStyle w:val="Header"/>
            <w:rPr>
              <w:sz w:val="8"/>
              <w:szCs w:val="8"/>
            </w:rPr>
          </w:pPr>
        </w:p>
        <w:p w:rsidR="004E76A1" w:rsidRPr="000402AF" w:rsidRDefault="004E76A1" w:rsidP="00A36FD8">
          <w:pPr>
            <w:pStyle w:val="Header"/>
            <w:tabs>
              <w:tab w:val="clear" w:pos="4536"/>
              <w:tab w:val="left" w:pos="913"/>
            </w:tabs>
            <w:rPr>
              <w:sz w:val="16"/>
              <w:szCs w:val="16"/>
            </w:rPr>
          </w:pPr>
          <w:r w:rsidRPr="000402AF">
            <w:rPr>
              <w:noProof/>
              <w:sz w:val="16"/>
              <w:szCs w:val="16"/>
              <w:lang w:eastAsia="ro-RO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59690</wp:posOffset>
                </wp:positionH>
                <wp:positionV relativeFrom="paragraph">
                  <wp:posOffset>3810</wp:posOffset>
                </wp:positionV>
                <wp:extent cx="1457325" cy="295275"/>
                <wp:effectExtent l="0" t="0" r="9525" b="9525"/>
                <wp:wrapNone/>
                <wp:docPr id="1213533738" name="Imagine 3" descr="A green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A green and black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sz w:val="16"/>
              <w:szCs w:val="16"/>
            </w:rPr>
            <w:tab/>
          </w:r>
        </w:p>
      </w:tc>
      <w:tc>
        <w:tcPr>
          <w:tcW w:w="7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E76A1" w:rsidRPr="000402AF" w:rsidRDefault="004E76A1" w:rsidP="00A36FD8">
          <w:pPr>
            <w:pStyle w:val="Header"/>
            <w:rPr>
              <w:b/>
              <w:sz w:val="16"/>
              <w:szCs w:val="16"/>
              <w:lang w:val="pt-BR"/>
            </w:rPr>
          </w:pPr>
          <w:r w:rsidRPr="000402AF">
            <w:rPr>
              <w:b/>
              <w:sz w:val="16"/>
              <w:szCs w:val="16"/>
              <w:lang w:val="pt-BR"/>
            </w:rPr>
            <w:t>OFICIUL FITOSANITAR MUREȘ</w:t>
          </w:r>
        </w:p>
        <w:p w:rsidR="004E76A1" w:rsidRPr="00F718CE" w:rsidRDefault="004E76A1" w:rsidP="00A36FD8">
          <w:pPr>
            <w:pStyle w:val="Header"/>
            <w:rPr>
              <w:sz w:val="18"/>
              <w:szCs w:val="18"/>
            </w:rPr>
          </w:pPr>
          <w:r w:rsidRPr="00F718CE">
            <w:rPr>
              <w:sz w:val="18"/>
              <w:szCs w:val="18"/>
              <w:lang w:val="pt-BR"/>
            </w:rPr>
            <w:t xml:space="preserve">Str. Dezrobirii, nr. 80, Tg. </w:t>
          </w:r>
          <w:r w:rsidRPr="00F718CE">
            <w:rPr>
              <w:sz w:val="18"/>
              <w:szCs w:val="18"/>
            </w:rPr>
            <w:t>Mureș, jud. Mureș, 540243</w:t>
          </w:r>
        </w:p>
        <w:p w:rsidR="004E76A1" w:rsidRPr="00F718CE" w:rsidRDefault="004E76A1" w:rsidP="00A36FD8">
          <w:pPr>
            <w:pStyle w:val="Header"/>
            <w:rPr>
              <w:sz w:val="18"/>
              <w:szCs w:val="18"/>
              <w:lang w:val="pt-BR"/>
            </w:rPr>
          </w:pPr>
          <w:r w:rsidRPr="00F718CE">
            <w:rPr>
              <w:sz w:val="18"/>
              <w:szCs w:val="18"/>
              <w:lang w:val="pt-BR"/>
            </w:rPr>
            <w:t>Tel. 0265435245; 0787603984</w:t>
          </w:r>
        </w:p>
        <w:p w:rsidR="004E76A1" w:rsidRPr="000402AF" w:rsidRDefault="004E76A1" w:rsidP="00A36FD8">
          <w:pPr>
            <w:pStyle w:val="Header"/>
            <w:rPr>
              <w:sz w:val="16"/>
              <w:szCs w:val="16"/>
              <w:lang w:val="pt-BR"/>
            </w:rPr>
          </w:pPr>
          <w:r w:rsidRPr="00F718CE">
            <w:rPr>
              <w:sz w:val="18"/>
              <w:szCs w:val="18"/>
              <w:lang w:val="pt-BR"/>
            </w:rPr>
            <w:t xml:space="preserve">E-mail: </w:t>
          </w:r>
          <w:hyperlink r:id="rId2" w:history="1">
            <w:r w:rsidRPr="00F718CE">
              <w:rPr>
                <w:rStyle w:val="Hyperlink"/>
                <w:rFonts w:eastAsiaTheme="minorEastAsia"/>
                <w:i/>
                <w:sz w:val="18"/>
                <w:szCs w:val="18"/>
                <w:lang w:val="pt-BR"/>
              </w:rPr>
              <w:t>ofmures@anfof.ro</w:t>
            </w:r>
          </w:hyperlink>
        </w:p>
      </w:tc>
    </w:tr>
  </w:tbl>
  <w:p w:rsidR="0081628A" w:rsidRPr="009578E0" w:rsidRDefault="0081628A" w:rsidP="004E76A1">
    <w:pPr>
      <w:pStyle w:val="Head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CFD"/>
    <w:rsid w:val="00003814"/>
    <w:rsid w:val="00025181"/>
    <w:rsid w:val="0003697B"/>
    <w:rsid w:val="00075021"/>
    <w:rsid w:val="000A78EF"/>
    <w:rsid w:val="000B7DDD"/>
    <w:rsid w:val="00107C4B"/>
    <w:rsid w:val="0011260E"/>
    <w:rsid w:val="001342AD"/>
    <w:rsid w:val="001354E9"/>
    <w:rsid w:val="00155DF8"/>
    <w:rsid w:val="00184CFC"/>
    <w:rsid w:val="00186585"/>
    <w:rsid w:val="001A51E0"/>
    <w:rsid w:val="001D1198"/>
    <w:rsid w:val="001D6EF7"/>
    <w:rsid w:val="001F63B1"/>
    <w:rsid w:val="0020073C"/>
    <w:rsid w:val="00233B3C"/>
    <w:rsid w:val="00235D64"/>
    <w:rsid w:val="0025553E"/>
    <w:rsid w:val="002D6216"/>
    <w:rsid w:val="003040E5"/>
    <w:rsid w:val="0030721B"/>
    <w:rsid w:val="00361C47"/>
    <w:rsid w:val="00367CFD"/>
    <w:rsid w:val="003A6B74"/>
    <w:rsid w:val="003C6345"/>
    <w:rsid w:val="003D05E0"/>
    <w:rsid w:val="003D23F6"/>
    <w:rsid w:val="003F3999"/>
    <w:rsid w:val="003F6E54"/>
    <w:rsid w:val="0040402B"/>
    <w:rsid w:val="004318A0"/>
    <w:rsid w:val="00457340"/>
    <w:rsid w:val="004908C4"/>
    <w:rsid w:val="004E76A1"/>
    <w:rsid w:val="005058BF"/>
    <w:rsid w:val="00524F1C"/>
    <w:rsid w:val="00552A7C"/>
    <w:rsid w:val="00556A13"/>
    <w:rsid w:val="00566050"/>
    <w:rsid w:val="00574CB8"/>
    <w:rsid w:val="00595FA0"/>
    <w:rsid w:val="005A4CEB"/>
    <w:rsid w:val="005B4E88"/>
    <w:rsid w:val="005F6538"/>
    <w:rsid w:val="006263AE"/>
    <w:rsid w:val="00640583"/>
    <w:rsid w:val="00677995"/>
    <w:rsid w:val="00687CB8"/>
    <w:rsid w:val="006A25A4"/>
    <w:rsid w:val="006B4D7C"/>
    <w:rsid w:val="006C23CE"/>
    <w:rsid w:val="006F4116"/>
    <w:rsid w:val="007062FA"/>
    <w:rsid w:val="0071192F"/>
    <w:rsid w:val="00753BD1"/>
    <w:rsid w:val="007661C6"/>
    <w:rsid w:val="00780CB7"/>
    <w:rsid w:val="0078556F"/>
    <w:rsid w:val="00786637"/>
    <w:rsid w:val="007B6609"/>
    <w:rsid w:val="0081628A"/>
    <w:rsid w:val="00836CFC"/>
    <w:rsid w:val="008438E0"/>
    <w:rsid w:val="00847158"/>
    <w:rsid w:val="00847F82"/>
    <w:rsid w:val="008657D7"/>
    <w:rsid w:val="00872281"/>
    <w:rsid w:val="00881EA7"/>
    <w:rsid w:val="00883818"/>
    <w:rsid w:val="0089009C"/>
    <w:rsid w:val="008901C7"/>
    <w:rsid w:val="00893EB9"/>
    <w:rsid w:val="008952A1"/>
    <w:rsid w:val="0089688B"/>
    <w:rsid w:val="008A590E"/>
    <w:rsid w:val="008C5F19"/>
    <w:rsid w:val="008F60AC"/>
    <w:rsid w:val="00927AAC"/>
    <w:rsid w:val="009578E0"/>
    <w:rsid w:val="00982037"/>
    <w:rsid w:val="00982BF4"/>
    <w:rsid w:val="00985833"/>
    <w:rsid w:val="009A66BD"/>
    <w:rsid w:val="00A40B95"/>
    <w:rsid w:val="00A56BA1"/>
    <w:rsid w:val="00A7569D"/>
    <w:rsid w:val="00A954FA"/>
    <w:rsid w:val="00AE4A1D"/>
    <w:rsid w:val="00B3438B"/>
    <w:rsid w:val="00B44EC1"/>
    <w:rsid w:val="00B55594"/>
    <w:rsid w:val="00B732F2"/>
    <w:rsid w:val="00BB29C3"/>
    <w:rsid w:val="00BB57B1"/>
    <w:rsid w:val="00BF1ACA"/>
    <w:rsid w:val="00C11844"/>
    <w:rsid w:val="00C22F37"/>
    <w:rsid w:val="00C31D07"/>
    <w:rsid w:val="00C3426A"/>
    <w:rsid w:val="00C411F7"/>
    <w:rsid w:val="00C44721"/>
    <w:rsid w:val="00C94F76"/>
    <w:rsid w:val="00CB4EC6"/>
    <w:rsid w:val="00CC6F6B"/>
    <w:rsid w:val="00CD2DF7"/>
    <w:rsid w:val="00DC1158"/>
    <w:rsid w:val="00DC6A96"/>
    <w:rsid w:val="00DD12BE"/>
    <w:rsid w:val="00DD242D"/>
    <w:rsid w:val="00DF3186"/>
    <w:rsid w:val="00E13CD3"/>
    <w:rsid w:val="00E26D62"/>
    <w:rsid w:val="00E42E11"/>
    <w:rsid w:val="00E76489"/>
    <w:rsid w:val="00E92600"/>
    <w:rsid w:val="00E94A46"/>
    <w:rsid w:val="00EA76BF"/>
    <w:rsid w:val="00EC6180"/>
    <w:rsid w:val="00FC7036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F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CFD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67CFD"/>
  </w:style>
  <w:style w:type="paragraph" w:styleId="Footer">
    <w:name w:val="footer"/>
    <w:basedOn w:val="Normal"/>
    <w:link w:val="FooterChar"/>
    <w:uiPriority w:val="99"/>
    <w:unhideWhenUsed/>
    <w:rsid w:val="00367CFD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67CFD"/>
  </w:style>
  <w:style w:type="paragraph" w:styleId="BalloonText">
    <w:name w:val="Balloon Text"/>
    <w:basedOn w:val="Normal"/>
    <w:link w:val="BalloonTextChar"/>
    <w:uiPriority w:val="99"/>
    <w:semiHidden/>
    <w:unhideWhenUsed/>
    <w:rsid w:val="00367CFD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7C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52A1"/>
    <w:pPr>
      <w:spacing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8952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524F1C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1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anfdf.ro/sanatate/ghid/ghidur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mures@anfof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1506</Words>
  <Characters>8738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FITOSANITAR</cp:lastModifiedBy>
  <cp:revision>3</cp:revision>
  <dcterms:created xsi:type="dcterms:W3CDTF">2026-04-28T05:26:00Z</dcterms:created>
  <dcterms:modified xsi:type="dcterms:W3CDTF">2026-06-24T09:49:00Z</dcterms:modified>
</cp:coreProperties>
</file>