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9D" w:rsidRDefault="00426D7D" w:rsidP="0075509D">
      <w:pPr>
        <w:rPr>
          <w:lang w:val="ro-RO"/>
        </w:rPr>
      </w:pPr>
      <w:r>
        <w:rPr>
          <w:lang w:val="ro-RO"/>
        </w:rPr>
        <w:t>Nr</w:t>
      </w:r>
      <w:r w:rsidR="00524ADC">
        <w:rPr>
          <w:lang w:val="ro-RO"/>
        </w:rPr>
        <w:t>.</w:t>
      </w:r>
      <w:r w:rsidR="00123490">
        <w:rPr>
          <w:lang w:val="ro-RO"/>
        </w:rPr>
        <w:t>124</w:t>
      </w:r>
      <w:r w:rsidR="00BD5B96">
        <w:rPr>
          <w:lang w:val="ro-RO"/>
        </w:rPr>
        <w:t xml:space="preserve"> </w:t>
      </w:r>
      <w:r>
        <w:rPr>
          <w:lang w:val="ro-RO"/>
        </w:rPr>
        <w:t xml:space="preserve">din </w:t>
      </w:r>
      <w:r w:rsidR="00123490">
        <w:rPr>
          <w:lang w:val="ro-RO"/>
        </w:rPr>
        <w:t>17</w:t>
      </w:r>
      <w:r w:rsidR="00F27E72">
        <w:rPr>
          <w:lang w:val="ro-RO"/>
        </w:rPr>
        <w:t>.</w:t>
      </w:r>
      <w:r>
        <w:rPr>
          <w:lang w:val="ro-RO"/>
        </w:rPr>
        <w:t>04</w:t>
      </w:r>
      <w:r w:rsidR="00F27E72">
        <w:rPr>
          <w:lang w:val="ro-RO"/>
        </w:rPr>
        <w:t>.</w:t>
      </w:r>
      <w:r>
        <w:rPr>
          <w:lang w:val="ro-RO"/>
        </w:rPr>
        <w:t>202</w:t>
      </w:r>
      <w:r w:rsidR="0002607F">
        <w:rPr>
          <w:lang w:val="ro-RO"/>
        </w:rPr>
        <w:t>6</w:t>
      </w:r>
      <w:r w:rsidR="0075509D" w:rsidRPr="00E5631C">
        <w:rPr>
          <w:lang w:val="ro-RO"/>
        </w:rPr>
        <w:tab/>
      </w:r>
    </w:p>
    <w:p w:rsidR="00E0155E" w:rsidRDefault="007D10F0" w:rsidP="007D10F0">
      <w:pPr>
        <w:jc w:val="center"/>
        <w:rPr>
          <w:b/>
          <w:sz w:val="22"/>
          <w:szCs w:val="22"/>
          <w:lang w:val="pt-BR"/>
        </w:rPr>
      </w:pPr>
      <w:r w:rsidRPr="00E0155E">
        <w:rPr>
          <w:b/>
          <w:sz w:val="22"/>
          <w:szCs w:val="22"/>
          <w:lang w:val="pt-BR"/>
        </w:rPr>
        <w:t xml:space="preserve">BULETIN   DE   AVERTIZARE </w:t>
      </w:r>
    </w:p>
    <w:p w:rsidR="007D10F0" w:rsidRPr="00E0155E" w:rsidRDefault="007D10F0" w:rsidP="007D10F0">
      <w:pPr>
        <w:jc w:val="center"/>
        <w:rPr>
          <w:b/>
          <w:sz w:val="22"/>
          <w:szCs w:val="22"/>
          <w:lang w:val="pt-BR"/>
        </w:rPr>
      </w:pPr>
      <w:r w:rsidRPr="00E0155E">
        <w:rPr>
          <w:b/>
          <w:sz w:val="22"/>
          <w:szCs w:val="22"/>
          <w:lang w:val="pt-BR"/>
        </w:rPr>
        <w:t xml:space="preserve"> Nr. </w:t>
      </w:r>
      <w:r w:rsidR="00B718DE" w:rsidRPr="00E0155E">
        <w:rPr>
          <w:b/>
          <w:sz w:val="22"/>
          <w:szCs w:val="22"/>
          <w:lang w:val="pt-BR"/>
        </w:rPr>
        <w:t>1</w:t>
      </w:r>
      <w:r w:rsidR="00162BDE" w:rsidRPr="00E0155E">
        <w:rPr>
          <w:b/>
          <w:sz w:val="22"/>
          <w:szCs w:val="22"/>
          <w:lang w:val="pt-BR"/>
        </w:rPr>
        <w:t>6</w:t>
      </w:r>
      <w:r w:rsidRPr="00E0155E">
        <w:rPr>
          <w:b/>
          <w:sz w:val="22"/>
          <w:szCs w:val="22"/>
          <w:lang w:val="pt-BR"/>
        </w:rPr>
        <w:t xml:space="preserve">/ </w:t>
      </w:r>
      <w:r w:rsidR="00123490" w:rsidRPr="00E0155E">
        <w:rPr>
          <w:b/>
          <w:sz w:val="22"/>
          <w:szCs w:val="22"/>
          <w:lang w:val="pt-BR"/>
        </w:rPr>
        <w:t>17</w:t>
      </w:r>
      <w:r w:rsidR="00B718DE" w:rsidRPr="00E0155E">
        <w:rPr>
          <w:b/>
          <w:sz w:val="22"/>
          <w:szCs w:val="22"/>
          <w:lang w:val="pt-BR"/>
        </w:rPr>
        <w:t>.04.202</w:t>
      </w:r>
      <w:r w:rsidR="0002607F" w:rsidRPr="00E0155E">
        <w:rPr>
          <w:b/>
          <w:sz w:val="22"/>
          <w:szCs w:val="22"/>
          <w:lang w:val="pt-BR"/>
        </w:rPr>
        <w:t>6</w:t>
      </w:r>
    </w:p>
    <w:p w:rsidR="007D10F0" w:rsidRPr="00E0155E" w:rsidRDefault="007D10F0" w:rsidP="007D10F0">
      <w:pPr>
        <w:jc w:val="center"/>
        <w:rPr>
          <w:lang w:val="pt-BR"/>
        </w:rPr>
      </w:pPr>
    </w:p>
    <w:p w:rsidR="003F2355" w:rsidRPr="004234F8" w:rsidRDefault="007D10F0" w:rsidP="007D10F0">
      <w:pPr>
        <w:pStyle w:val="BodyText"/>
        <w:jc w:val="both"/>
        <w:rPr>
          <w:sz w:val="20"/>
          <w:lang w:val="ro-RO"/>
        </w:rPr>
      </w:pPr>
      <w:r w:rsidRPr="00A538B4">
        <w:rPr>
          <w:sz w:val="20"/>
          <w:lang w:val="pt-BR"/>
        </w:rPr>
        <w:tab/>
      </w:r>
      <w:r w:rsidR="000B2FF8" w:rsidRPr="00F27E72">
        <w:rPr>
          <w:color w:val="3F3F3F"/>
          <w:w w:val="105"/>
          <w:sz w:val="20"/>
          <w:lang w:val="pt-BR"/>
        </w:rPr>
        <w:t>Pentru</w:t>
      </w:r>
      <w:r w:rsidR="009C5880">
        <w:rPr>
          <w:color w:val="3F3F3F"/>
          <w:w w:val="105"/>
          <w:sz w:val="20"/>
          <w:lang w:val="pt-BR"/>
        </w:rPr>
        <w:t xml:space="preserve"> </w:t>
      </w:r>
      <w:r w:rsidR="000B2FF8" w:rsidRPr="00F27E72">
        <w:rPr>
          <w:color w:val="3F3F3F"/>
          <w:w w:val="105"/>
          <w:sz w:val="20"/>
          <w:lang w:val="pt-BR"/>
        </w:rPr>
        <w:t xml:space="preserve">prevenirea </w:t>
      </w:r>
      <w:r w:rsidR="008C59FF">
        <w:rPr>
          <w:color w:val="3F3F3F"/>
          <w:spacing w:val="23"/>
          <w:w w:val="105"/>
          <w:sz w:val="20"/>
          <w:lang w:val="pt-BR"/>
        </w:rPr>
        <w:t>ș</w:t>
      </w:r>
      <w:r w:rsidR="000B2FF8" w:rsidRPr="00F27E72">
        <w:rPr>
          <w:color w:val="3F3F3F"/>
          <w:w w:val="105"/>
          <w:sz w:val="20"/>
          <w:lang w:val="pt-BR"/>
        </w:rPr>
        <w:t>i</w:t>
      </w:r>
      <w:r w:rsidR="009C5880">
        <w:rPr>
          <w:color w:val="3F3F3F"/>
          <w:w w:val="105"/>
          <w:sz w:val="20"/>
          <w:lang w:val="pt-BR"/>
        </w:rPr>
        <w:t xml:space="preserve"> </w:t>
      </w:r>
      <w:r w:rsidR="000B2FF8" w:rsidRPr="00F27E72">
        <w:rPr>
          <w:color w:val="3F3F3F"/>
          <w:w w:val="105"/>
          <w:sz w:val="20"/>
          <w:lang w:val="pt-BR"/>
        </w:rPr>
        <w:t>combaterea</w:t>
      </w:r>
      <w:r w:rsidR="009C5880">
        <w:rPr>
          <w:color w:val="3F3F3F"/>
          <w:w w:val="105"/>
          <w:sz w:val="20"/>
          <w:lang w:val="pt-BR"/>
        </w:rPr>
        <w:t xml:space="preserve"> </w:t>
      </w:r>
      <w:r w:rsidR="000B2FF8" w:rsidRPr="00F27E72">
        <w:rPr>
          <w:color w:val="3F3F3F"/>
          <w:w w:val="105"/>
          <w:sz w:val="20"/>
          <w:lang w:val="pt-BR"/>
        </w:rPr>
        <w:t>organismelor</w:t>
      </w:r>
      <w:r w:rsidR="009C5880">
        <w:rPr>
          <w:color w:val="3F3F3F"/>
          <w:w w:val="105"/>
          <w:sz w:val="20"/>
          <w:lang w:val="pt-BR"/>
        </w:rPr>
        <w:t xml:space="preserve"> </w:t>
      </w:r>
      <w:r w:rsidR="000B2FF8" w:rsidRPr="00F27E72">
        <w:rPr>
          <w:color w:val="3F3F3F"/>
          <w:w w:val="105"/>
          <w:sz w:val="20"/>
          <w:lang w:val="pt-BR"/>
        </w:rPr>
        <w:t>d</w:t>
      </w:r>
      <w:r w:rsidR="00DF4598">
        <w:rPr>
          <w:color w:val="3F3F3F"/>
          <w:w w:val="105"/>
          <w:sz w:val="20"/>
          <w:lang w:val="pt-BR"/>
        </w:rPr>
        <w:t>ă</w:t>
      </w:r>
      <w:r w:rsidR="000B2FF8" w:rsidRPr="00F27E72">
        <w:rPr>
          <w:color w:val="3F3F3F"/>
          <w:w w:val="105"/>
          <w:sz w:val="20"/>
          <w:lang w:val="pt-BR"/>
        </w:rPr>
        <w:t xml:space="preserve">unatoare: </w:t>
      </w:r>
      <w:r w:rsidR="00B73252" w:rsidRPr="004234F8">
        <w:rPr>
          <w:sz w:val="20"/>
          <w:lang w:val="ro-RO"/>
        </w:rPr>
        <w:t>monilioza</w:t>
      </w:r>
      <w:r w:rsidR="00A579E9" w:rsidRPr="004234F8">
        <w:rPr>
          <w:sz w:val="20"/>
          <w:lang w:val="ro-RO"/>
        </w:rPr>
        <w:t xml:space="preserve"> (</w:t>
      </w:r>
      <w:r w:rsidR="00A579E9" w:rsidRPr="004234F8">
        <w:rPr>
          <w:i/>
          <w:sz w:val="20"/>
          <w:lang w:val="ro-RO"/>
        </w:rPr>
        <w:t>Monilinia laxa)</w:t>
      </w:r>
      <w:r w:rsidR="00A579E9" w:rsidRPr="004234F8">
        <w:rPr>
          <w:sz w:val="20"/>
          <w:lang w:val="ro-RO"/>
        </w:rPr>
        <w:t xml:space="preserve">, </w:t>
      </w:r>
      <w:r w:rsidR="00B73252" w:rsidRPr="004234F8">
        <w:rPr>
          <w:sz w:val="20"/>
          <w:lang w:val="ro-RO"/>
        </w:rPr>
        <w:t>antracnoza</w:t>
      </w:r>
      <w:r w:rsidR="00A579E9" w:rsidRPr="004234F8">
        <w:rPr>
          <w:sz w:val="20"/>
          <w:lang w:val="ro-RO"/>
        </w:rPr>
        <w:t xml:space="preserve"> (</w:t>
      </w:r>
      <w:r w:rsidR="00A579E9" w:rsidRPr="004234F8">
        <w:rPr>
          <w:i/>
          <w:sz w:val="20"/>
          <w:lang w:val="ro-RO"/>
        </w:rPr>
        <w:t>Coccomyces</w:t>
      </w:r>
      <w:r w:rsidR="00BD5B96">
        <w:rPr>
          <w:i/>
          <w:sz w:val="20"/>
          <w:lang w:val="ro-RO"/>
        </w:rPr>
        <w:t xml:space="preserve"> </w:t>
      </w:r>
      <w:r w:rsidR="00A579E9" w:rsidRPr="004234F8">
        <w:rPr>
          <w:i/>
          <w:sz w:val="20"/>
          <w:lang w:val="ro-RO"/>
        </w:rPr>
        <w:t>hiemalis</w:t>
      </w:r>
      <w:r w:rsidR="005E2ED0" w:rsidRPr="004234F8">
        <w:rPr>
          <w:i/>
          <w:sz w:val="20"/>
          <w:lang w:val="ro-RO"/>
        </w:rPr>
        <w:t xml:space="preserve"> sin. Blumeriella</w:t>
      </w:r>
      <w:r w:rsidR="00BD5B96">
        <w:rPr>
          <w:i/>
          <w:sz w:val="20"/>
          <w:lang w:val="ro-RO"/>
        </w:rPr>
        <w:t xml:space="preserve"> </w:t>
      </w:r>
      <w:r w:rsidR="005E2ED0" w:rsidRPr="004234F8">
        <w:rPr>
          <w:i/>
          <w:sz w:val="20"/>
          <w:lang w:val="ro-RO"/>
        </w:rPr>
        <w:t>japii</w:t>
      </w:r>
      <w:r w:rsidR="00A579E9" w:rsidRPr="004234F8">
        <w:rPr>
          <w:i/>
          <w:sz w:val="20"/>
          <w:lang w:val="ro-RO"/>
        </w:rPr>
        <w:t>)</w:t>
      </w:r>
      <w:r w:rsidR="00A579E9" w:rsidRPr="004234F8">
        <w:rPr>
          <w:sz w:val="20"/>
          <w:lang w:val="ro-RO"/>
        </w:rPr>
        <w:t>, ciuruirea</w:t>
      </w:r>
      <w:r w:rsidR="009C5880">
        <w:rPr>
          <w:sz w:val="20"/>
          <w:lang w:val="ro-RO"/>
        </w:rPr>
        <w:t xml:space="preserve"> </w:t>
      </w:r>
      <w:r w:rsidR="00DF4598">
        <w:rPr>
          <w:sz w:val="20"/>
          <w:lang w:val="ro-RO"/>
        </w:rPr>
        <w:t>frunzelor</w:t>
      </w:r>
      <w:r w:rsidR="009C5880">
        <w:rPr>
          <w:sz w:val="20"/>
          <w:lang w:val="ro-RO"/>
        </w:rPr>
        <w:t xml:space="preserve"> </w:t>
      </w:r>
      <w:r w:rsidR="00A579E9" w:rsidRPr="004234F8">
        <w:rPr>
          <w:i/>
          <w:sz w:val="20"/>
          <w:lang w:val="ro-RO"/>
        </w:rPr>
        <w:t>(Stigmina</w:t>
      </w:r>
      <w:r w:rsidR="00BD5B96">
        <w:rPr>
          <w:i/>
          <w:sz w:val="20"/>
          <w:lang w:val="ro-RO"/>
        </w:rPr>
        <w:t xml:space="preserve"> </w:t>
      </w:r>
      <w:r w:rsidR="00A579E9" w:rsidRPr="004234F8">
        <w:rPr>
          <w:i/>
          <w:sz w:val="20"/>
          <w:lang w:val="ro-RO"/>
        </w:rPr>
        <w:t>carpophilla)</w:t>
      </w:r>
      <w:r w:rsidR="009C5880">
        <w:rPr>
          <w:i/>
          <w:sz w:val="20"/>
          <w:lang w:val="ro-RO"/>
        </w:rPr>
        <w:t xml:space="preserve"> </w:t>
      </w:r>
      <w:r w:rsidR="00DF4598">
        <w:rPr>
          <w:i/>
          <w:sz w:val="20"/>
          <w:lang w:val="ro-RO"/>
        </w:rPr>
        <w:t>,</w:t>
      </w:r>
      <w:r w:rsidR="00DF4598" w:rsidRPr="004234F8">
        <w:rPr>
          <w:sz w:val="20"/>
          <w:lang w:val="ro-RO"/>
        </w:rPr>
        <w:t>pătarea roşie a frunzelor</w:t>
      </w:r>
      <w:r w:rsidR="00DF4598">
        <w:rPr>
          <w:sz w:val="20"/>
          <w:lang w:val="ro-RO"/>
        </w:rPr>
        <w:t xml:space="preserve">, </w:t>
      </w:r>
      <w:r w:rsidR="00DF4598" w:rsidRPr="004234F8">
        <w:rPr>
          <w:i/>
          <w:sz w:val="20"/>
          <w:lang w:val="ro-RO"/>
        </w:rPr>
        <w:t>(Polystigma</w:t>
      </w:r>
      <w:r w:rsidR="00BD5B96">
        <w:rPr>
          <w:i/>
          <w:sz w:val="20"/>
          <w:lang w:val="ro-RO"/>
        </w:rPr>
        <w:t xml:space="preserve"> </w:t>
      </w:r>
      <w:r w:rsidR="00DF4598" w:rsidRPr="004234F8">
        <w:rPr>
          <w:i/>
          <w:sz w:val="20"/>
          <w:lang w:val="ro-RO"/>
        </w:rPr>
        <w:t>rubrum</w:t>
      </w:r>
      <w:r w:rsidR="00DF4598">
        <w:rPr>
          <w:i/>
          <w:sz w:val="20"/>
          <w:lang w:val="ro-RO"/>
        </w:rPr>
        <w:t>)</w:t>
      </w:r>
      <w:r w:rsidR="00B73252" w:rsidRPr="004234F8">
        <w:rPr>
          <w:sz w:val="20"/>
          <w:lang w:val="ro-RO"/>
        </w:rPr>
        <w:t xml:space="preserve">  viespea seminţelor</w:t>
      </w:r>
      <w:r w:rsidR="009C5880">
        <w:rPr>
          <w:sz w:val="20"/>
          <w:lang w:val="ro-RO"/>
        </w:rPr>
        <w:t xml:space="preserve"> </w:t>
      </w:r>
      <w:r w:rsidR="00A64C3F" w:rsidRPr="004234F8">
        <w:rPr>
          <w:i/>
          <w:sz w:val="20"/>
          <w:lang w:val="ro-RO"/>
        </w:rPr>
        <w:t>(Eurytoma</w:t>
      </w:r>
      <w:r w:rsidR="00BD5B96">
        <w:rPr>
          <w:i/>
          <w:sz w:val="20"/>
          <w:lang w:val="ro-RO"/>
        </w:rPr>
        <w:t xml:space="preserve"> </w:t>
      </w:r>
      <w:r w:rsidR="00A64C3F" w:rsidRPr="004234F8">
        <w:rPr>
          <w:i/>
          <w:sz w:val="20"/>
          <w:lang w:val="ro-RO"/>
        </w:rPr>
        <w:t>schreineri)</w:t>
      </w:r>
      <w:r w:rsidR="00B73252" w:rsidRPr="004234F8">
        <w:rPr>
          <w:sz w:val="20"/>
          <w:lang w:val="ro-RO"/>
        </w:rPr>
        <w:t>, defoliatori</w:t>
      </w:r>
      <w:r w:rsidR="00DF4598">
        <w:rPr>
          <w:sz w:val="20"/>
          <w:lang w:val="ro-RO"/>
        </w:rPr>
        <w:t xml:space="preserve">, </w:t>
      </w:r>
      <w:r w:rsidR="00B73252" w:rsidRPr="004234F8">
        <w:rPr>
          <w:sz w:val="20"/>
          <w:lang w:val="ro-RO"/>
        </w:rPr>
        <w:t xml:space="preserve"> afide</w:t>
      </w:r>
      <w:r w:rsidR="00DF4598">
        <w:rPr>
          <w:sz w:val="20"/>
          <w:lang w:val="ro-RO"/>
        </w:rPr>
        <w:t xml:space="preserve"> la cireș, vișin și prun</w:t>
      </w:r>
      <w:r w:rsidR="00C46A12" w:rsidRPr="004234F8">
        <w:rPr>
          <w:i/>
          <w:sz w:val="20"/>
          <w:lang w:val="ro-RO"/>
        </w:rPr>
        <w:t xml:space="preserve">. </w:t>
      </w:r>
    </w:p>
    <w:p w:rsidR="003F2355" w:rsidRDefault="003F2355" w:rsidP="007D10F0">
      <w:pPr>
        <w:pStyle w:val="BodyText"/>
        <w:jc w:val="both"/>
        <w:rPr>
          <w:sz w:val="20"/>
          <w:lang w:val="ro-RO"/>
        </w:rPr>
      </w:pPr>
    </w:p>
    <w:p w:rsidR="0062307B" w:rsidRDefault="0062307B" w:rsidP="007D10F0">
      <w:pPr>
        <w:pStyle w:val="BodyText"/>
        <w:jc w:val="both"/>
        <w:rPr>
          <w:sz w:val="20"/>
          <w:lang w:val="ro-RO"/>
        </w:rPr>
        <w:sectPr w:rsidR="0062307B" w:rsidSect="000C7DF7">
          <w:headerReference w:type="default" r:id="rId7"/>
          <w:pgSz w:w="12240" w:h="15840"/>
          <w:pgMar w:top="306" w:right="663" w:bottom="306" w:left="1230" w:header="283" w:footer="283" w:gutter="0"/>
          <w:cols w:space="708"/>
          <w:docGrid w:linePitch="360"/>
        </w:sectPr>
      </w:pPr>
    </w:p>
    <w:p w:rsidR="003F2355" w:rsidRPr="00AF778B" w:rsidRDefault="003F2355" w:rsidP="00AF778B">
      <w:pPr>
        <w:pStyle w:val="BodyText"/>
        <w:ind w:firstLine="720"/>
        <w:jc w:val="both"/>
        <w:rPr>
          <w:sz w:val="20"/>
          <w:lang w:val="ro-RO"/>
        </w:rPr>
      </w:pPr>
      <w:r w:rsidRPr="00AF778B">
        <w:rPr>
          <w:b/>
          <w:sz w:val="20"/>
          <w:lang w:val="ro-RO"/>
        </w:rPr>
        <w:lastRenderedPageBreak/>
        <w:t>Monilioza</w:t>
      </w:r>
      <w:r w:rsidRPr="00AF778B">
        <w:rPr>
          <w:sz w:val="20"/>
          <w:lang w:val="ro-RO"/>
        </w:rPr>
        <w:t xml:space="preserve"> (</w:t>
      </w:r>
      <w:r w:rsidRPr="00AF778B">
        <w:rPr>
          <w:i/>
          <w:sz w:val="20"/>
          <w:lang w:val="ro-RO"/>
        </w:rPr>
        <w:t>Monilinia laxa)</w:t>
      </w:r>
      <w:r w:rsidRPr="00AF778B">
        <w:rPr>
          <w:sz w:val="20"/>
          <w:lang w:val="ro-RO"/>
        </w:rPr>
        <w:t xml:space="preserve">, </w:t>
      </w:r>
      <w:r w:rsidR="00AF778B" w:rsidRPr="00AF778B">
        <w:rPr>
          <w:sz w:val="20"/>
          <w:lang w:val="ro-RO"/>
        </w:rPr>
        <w:t>a</w:t>
      </w:r>
      <w:r w:rsidR="00AF778B" w:rsidRPr="00F27E72">
        <w:rPr>
          <w:color w:val="000000"/>
          <w:sz w:val="20"/>
          <w:shd w:val="clear" w:color="auto" w:fill="FFFFFF"/>
          <w:lang w:val="pt-BR"/>
        </w:rPr>
        <w:t>tacă aproape toate speciile pomicole  sâmburoase și seminţoase. Atacul de monilioză se manifestă în primăverile  reci și ploioase, favorizat de umiditatea  crescută,  temperaturile scăzute și de leziunile produse de  grindină, boli sau dăunători și poate cauza  pierderi mari la speciile afectate, prin ofilirea unui  număr mare de ramuri cu frunze și flori (arsura  moniliană).</w:t>
      </w:r>
      <w:r w:rsidR="009C5880">
        <w:rPr>
          <w:color w:val="000000"/>
          <w:sz w:val="20"/>
          <w:shd w:val="clear" w:color="auto" w:fill="FFFFFF"/>
          <w:lang w:val="pt-BR"/>
        </w:rPr>
        <w:t xml:space="preserve"> </w:t>
      </w:r>
      <w:r w:rsidR="00AF778B">
        <w:rPr>
          <w:sz w:val="20"/>
          <w:lang w:val="ro-RO"/>
        </w:rPr>
        <w:t>A</w:t>
      </w:r>
      <w:r w:rsidRPr="00AF778B">
        <w:rPr>
          <w:sz w:val="20"/>
          <w:lang w:val="ro-RO"/>
        </w:rPr>
        <w:t>tacă florile, frunzele, fructele, și ramurile tinere. Forma cea mai gravă se intalnește pe flori și ramuri. Organele atacate se veștejesc, se brunifică și se usucă ramânând atârnate pe pom.</w:t>
      </w:r>
      <w:r w:rsidR="00AF778B" w:rsidRPr="00AF778B">
        <w:rPr>
          <w:sz w:val="20"/>
          <w:lang w:val="ro-RO"/>
        </w:rPr>
        <w:t xml:space="preserve"> Ramurile se </w:t>
      </w:r>
      <w:r w:rsidR="009C5880">
        <w:rPr>
          <w:sz w:val="20"/>
          <w:lang w:val="ro-RO"/>
        </w:rPr>
        <w:t>î</w:t>
      </w:r>
      <w:r w:rsidR="00AF778B" w:rsidRPr="00AF778B">
        <w:rPr>
          <w:sz w:val="20"/>
          <w:lang w:val="ro-RO"/>
        </w:rPr>
        <w:t xml:space="preserve">ndoaie sub formă de cârlig. </w:t>
      </w:r>
      <w:r w:rsidRPr="00AF778B">
        <w:rPr>
          <w:sz w:val="20"/>
          <w:lang w:val="ro-RO"/>
        </w:rPr>
        <w:t xml:space="preserve"> Pe vreme um</w:t>
      </w:r>
      <w:r w:rsidR="00901CCA">
        <w:rPr>
          <w:sz w:val="20"/>
          <w:lang w:val="ro-RO"/>
        </w:rPr>
        <w:t>edă apar sporodochiile</w:t>
      </w:r>
      <w:r w:rsidRPr="00AF778B">
        <w:rPr>
          <w:sz w:val="20"/>
          <w:lang w:val="ro-RO"/>
        </w:rPr>
        <w:t xml:space="preserve"> ciupercii, dispuse neregulat</w:t>
      </w:r>
      <w:r w:rsidR="00901CCA">
        <w:rPr>
          <w:sz w:val="20"/>
          <w:lang w:val="ro-RO"/>
        </w:rPr>
        <w:t>.I</w:t>
      </w:r>
      <w:r w:rsidR="00AF778B" w:rsidRPr="00AF778B">
        <w:rPr>
          <w:color w:val="262626"/>
          <w:sz w:val="20"/>
          <w:shd w:val="clear" w:color="auto" w:fill="FFFFFF"/>
        </w:rPr>
        <w:t>ernează</w:t>
      </w:r>
      <w:r w:rsidR="009C5880">
        <w:rPr>
          <w:color w:val="262626"/>
          <w:sz w:val="20"/>
          <w:shd w:val="clear" w:color="auto" w:fill="FFFFFF"/>
        </w:rPr>
        <w:t xml:space="preserve"> </w:t>
      </w:r>
      <w:r w:rsidR="00AF778B" w:rsidRPr="00AF778B">
        <w:rPr>
          <w:color w:val="262626"/>
          <w:sz w:val="20"/>
          <w:shd w:val="clear" w:color="auto" w:fill="FFFFFF"/>
        </w:rPr>
        <w:t>în</w:t>
      </w:r>
      <w:r w:rsidR="009C5880">
        <w:rPr>
          <w:color w:val="262626"/>
          <w:sz w:val="20"/>
          <w:shd w:val="clear" w:color="auto" w:fill="FFFFFF"/>
        </w:rPr>
        <w:t xml:space="preserve"> </w:t>
      </w:r>
      <w:r w:rsidR="00AF778B" w:rsidRPr="00AF778B">
        <w:rPr>
          <w:color w:val="262626"/>
          <w:sz w:val="20"/>
          <w:shd w:val="clear" w:color="auto" w:fill="FFFFFF"/>
        </w:rPr>
        <w:t>scoarța</w:t>
      </w:r>
      <w:r w:rsidR="009C5880">
        <w:rPr>
          <w:color w:val="262626"/>
          <w:sz w:val="20"/>
          <w:shd w:val="clear" w:color="auto" w:fill="FFFFFF"/>
        </w:rPr>
        <w:t xml:space="preserve"> </w:t>
      </w:r>
      <w:r w:rsidR="00AF778B" w:rsidRPr="00AF778B">
        <w:rPr>
          <w:color w:val="262626"/>
          <w:sz w:val="20"/>
          <w:shd w:val="clear" w:color="auto" w:fill="FFFFFF"/>
        </w:rPr>
        <w:t>ramurilor</w:t>
      </w:r>
      <w:r w:rsidR="009C5880">
        <w:rPr>
          <w:color w:val="262626"/>
          <w:sz w:val="20"/>
          <w:shd w:val="clear" w:color="auto" w:fill="FFFFFF"/>
        </w:rPr>
        <w:t xml:space="preserve"> </w:t>
      </w:r>
      <w:r w:rsidR="00AF778B" w:rsidRPr="00AF778B">
        <w:rPr>
          <w:color w:val="262626"/>
          <w:sz w:val="20"/>
          <w:shd w:val="clear" w:color="auto" w:fill="FFFFFF"/>
        </w:rPr>
        <w:t>atacate</w:t>
      </w:r>
      <w:r w:rsidR="009C5880">
        <w:rPr>
          <w:color w:val="262626"/>
          <w:sz w:val="20"/>
          <w:shd w:val="clear" w:color="auto" w:fill="FFFFFF"/>
        </w:rPr>
        <w:t xml:space="preserve"> </w:t>
      </w:r>
      <w:r w:rsidR="00AF778B" w:rsidRPr="00AF778B">
        <w:rPr>
          <w:color w:val="262626"/>
          <w:sz w:val="20"/>
          <w:shd w:val="clear" w:color="auto" w:fill="FFFFFF"/>
        </w:rPr>
        <w:t>și pe fructele</w:t>
      </w:r>
      <w:r w:rsidR="009C5880">
        <w:rPr>
          <w:color w:val="262626"/>
          <w:sz w:val="20"/>
          <w:shd w:val="clear" w:color="auto" w:fill="FFFFFF"/>
        </w:rPr>
        <w:t xml:space="preserve"> </w:t>
      </w:r>
      <w:r w:rsidR="00AF778B" w:rsidRPr="00AF778B">
        <w:rPr>
          <w:color w:val="262626"/>
          <w:sz w:val="20"/>
          <w:shd w:val="clear" w:color="auto" w:fill="FFFFFF"/>
        </w:rPr>
        <w:t>mumificate.</w:t>
      </w:r>
    </w:p>
    <w:p w:rsidR="003F2355" w:rsidRDefault="003F2355" w:rsidP="007D10F0">
      <w:pPr>
        <w:pStyle w:val="BodyText"/>
        <w:jc w:val="both"/>
        <w:rPr>
          <w:sz w:val="20"/>
          <w:lang w:val="ro-RO"/>
        </w:rPr>
      </w:pPr>
      <w:r w:rsidRPr="003F2355">
        <w:rPr>
          <w:noProof/>
          <w:sz w:val="20"/>
          <w:lang w:val="ro-RO" w:eastAsia="ro-RO"/>
        </w:rPr>
        <w:lastRenderedPageBreak/>
        <w:drawing>
          <wp:inline distT="0" distB="0" distL="0" distR="0">
            <wp:extent cx="1473200" cy="1111250"/>
            <wp:effectExtent l="19050" t="0" r="0" b="0"/>
            <wp:docPr id="5" name="Imagine 4" descr="Monilioza florilor, lăstarilor şi a fructelor | Synge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ilioza florilor, lăstarilor şi a fructelor | Syngenta"/>
                    <pic:cNvPicPr>
                      <a:picLocks noChangeAspect="1" noChangeArrowheads="1"/>
                    </pic:cNvPicPr>
                  </pic:nvPicPr>
                  <pic:blipFill>
                    <a:blip r:embed="rId8" cstate="print"/>
                    <a:srcRect/>
                    <a:stretch>
                      <a:fillRect/>
                    </a:stretch>
                  </pic:blipFill>
                  <pic:spPr bwMode="auto">
                    <a:xfrm>
                      <a:off x="0" y="0"/>
                      <a:ext cx="1477001" cy="1114117"/>
                    </a:xfrm>
                    <a:prstGeom prst="rect">
                      <a:avLst/>
                    </a:prstGeom>
                    <a:noFill/>
                    <a:ln w="9525">
                      <a:noFill/>
                      <a:miter lim="800000"/>
                      <a:headEnd/>
                      <a:tailEnd/>
                    </a:ln>
                  </pic:spPr>
                </pic:pic>
              </a:graphicData>
            </a:graphic>
          </wp:inline>
        </w:drawing>
      </w:r>
    </w:p>
    <w:p w:rsidR="003F2355" w:rsidRDefault="003F2355" w:rsidP="007D10F0">
      <w:pPr>
        <w:pStyle w:val="BodyText"/>
        <w:jc w:val="both"/>
        <w:rPr>
          <w:sz w:val="20"/>
          <w:lang w:val="ro-RO"/>
        </w:rPr>
      </w:pPr>
    </w:p>
    <w:p w:rsidR="003F2355" w:rsidRDefault="003F2355" w:rsidP="007D10F0">
      <w:pPr>
        <w:pStyle w:val="BodyText"/>
        <w:jc w:val="both"/>
        <w:rPr>
          <w:sz w:val="20"/>
          <w:lang w:val="ro-RO"/>
        </w:rPr>
        <w:sectPr w:rsidR="003F2355" w:rsidSect="000C7DF7">
          <w:type w:val="continuous"/>
          <w:pgSz w:w="12240" w:h="15840"/>
          <w:pgMar w:top="306" w:right="663" w:bottom="306" w:left="1230" w:header="709" w:footer="709" w:gutter="0"/>
          <w:cols w:num="2" w:space="709" w:equalWidth="0">
            <w:col w:w="7984" w:space="142"/>
            <w:col w:w="2221"/>
          </w:cols>
          <w:docGrid w:linePitch="360"/>
        </w:sectPr>
      </w:pPr>
    </w:p>
    <w:p w:rsidR="001921D7" w:rsidRPr="0048109C" w:rsidRDefault="001921D7" w:rsidP="007D10F0">
      <w:pPr>
        <w:pStyle w:val="BodyText"/>
        <w:jc w:val="both"/>
        <w:rPr>
          <w:b/>
          <w:sz w:val="20"/>
          <w:lang w:val="ro-RO"/>
        </w:rPr>
      </w:pPr>
      <w:r w:rsidRPr="001921D7">
        <w:rPr>
          <w:b/>
          <w:noProof/>
          <w:sz w:val="20"/>
          <w:lang w:val="ro-RO" w:eastAsia="ro-RO"/>
        </w:rPr>
        <w:lastRenderedPageBreak/>
        <w:drawing>
          <wp:inline distT="0" distB="0" distL="0" distR="0">
            <wp:extent cx="1744345" cy="914400"/>
            <wp:effectExtent l="19050" t="0" r="8255" b="0"/>
            <wp:docPr id="6" name="Imagine 7" descr="Antracnoza frunzelor de cireş şi vişin :cauze, simptome, combatere și  preveni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tracnoza frunzelor de cireş şi vişin :cauze, simptome, combatere și  prevenire - YouTube"/>
                    <pic:cNvPicPr>
                      <a:picLocks noChangeAspect="1" noChangeArrowheads="1"/>
                    </pic:cNvPicPr>
                  </pic:nvPicPr>
                  <pic:blipFill>
                    <a:blip r:embed="rId9" cstate="print"/>
                    <a:srcRect/>
                    <a:stretch>
                      <a:fillRect/>
                    </a:stretch>
                  </pic:blipFill>
                  <pic:spPr bwMode="auto">
                    <a:xfrm>
                      <a:off x="0" y="0"/>
                      <a:ext cx="1744558" cy="914512"/>
                    </a:xfrm>
                    <a:prstGeom prst="rect">
                      <a:avLst/>
                    </a:prstGeom>
                    <a:noFill/>
                    <a:ln w="9525">
                      <a:noFill/>
                      <a:miter lim="800000"/>
                      <a:headEnd/>
                      <a:tailEnd/>
                    </a:ln>
                  </pic:spPr>
                </pic:pic>
              </a:graphicData>
            </a:graphic>
          </wp:inline>
        </w:drawing>
      </w:r>
    </w:p>
    <w:p w:rsidR="001921D7" w:rsidRDefault="0048109C" w:rsidP="007D10F0">
      <w:pPr>
        <w:pStyle w:val="BodyText"/>
        <w:jc w:val="both"/>
        <w:rPr>
          <w:sz w:val="20"/>
          <w:lang w:val="ro-RO"/>
        </w:rPr>
      </w:pPr>
      <w:r w:rsidRPr="005E2ED0">
        <w:rPr>
          <w:b/>
          <w:sz w:val="20"/>
          <w:lang w:val="ro-RO"/>
        </w:rPr>
        <w:lastRenderedPageBreak/>
        <w:t>Antracnoza</w:t>
      </w:r>
      <w:r>
        <w:rPr>
          <w:sz w:val="20"/>
          <w:lang w:val="ro-RO"/>
        </w:rPr>
        <w:t>(</w:t>
      </w:r>
      <w:r w:rsidRPr="00A579E9">
        <w:rPr>
          <w:i/>
          <w:sz w:val="20"/>
          <w:lang w:val="ro-RO"/>
        </w:rPr>
        <w:t>Coccomyces</w:t>
      </w:r>
      <w:r w:rsidR="00BD5B96">
        <w:rPr>
          <w:i/>
          <w:sz w:val="20"/>
          <w:lang w:val="ro-RO"/>
        </w:rPr>
        <w:t xml:space="preserve"> </w:t>
      </w:r>
      <w:r>
        <w:rPr>
          <w:i/>
          <w:sz w:val="20"/>
          <w:lang w:val="ro-RO"/>
        </w:rPr>
        <w:t>hiemalis sin. Blumeriella</w:t>
      </w:r>
      <w:r w:rsidR="00BD5B96">
        <w:rPr>
          <w:i/>
          <w:sz w:val="20"/>
          <w:lang w:val="ro-RO"/>
        </w:rPr>
        <w:t xml:space="preserve"> </w:t>
      </w:r>
      <w:r>
        <w:rPr>
          <w:i/>
          <w:sz w:val="20"/>
          <w:lang w:val="ro-RO"/>
        </w:rPr>
        <w:t xml:space="preserve">japii). </w:t>
      </w:r>
      <w:r>
        <w:rPr>
          <w:sz w:val="20"/>
          <w:lang w:val="ro-RO"/>
        </w:rPr>
        <w:t xml:space="preserve">Boala este mai frecventă în pepiniere. Atacă frunzele, lăstarii și ramurile, mai rar fructele. Pe fața superioară a frunzelor apar pete mici, punctiforme, circulare, purpurii sau brune-roșietice, izolate de 1 – 3 mm în diametru. Țesuturile dintre pete se </w:t>
      </w:r>
      <w:r w:rsidR="009C5880">
        <w:rPr>
          <w:sz w:val="20"/>
          <w:lang w:val="ro-RO"/>
        </w:rPr>
        <w:t>î</w:t>
      </w:r>
      <w:r>
        <w:rPr>
          <w:sz w:val="20"/>
          <w:lang w:val="ro-RO"/>
        </w:rPr>
        <w:t xml:space="preserve">ngălbenesc. Pe vreme umedă petele cuprind </w:t>
      </w:r>
      <w:r w:rsidR="009C5880">
        <w:rPr>
          <w:sz w:val="20"/>
          <w:lang w:val="ro-RO"/>
        </w:rPr>
        <w:t>î</w:t>
      </w:r>
      <w:r>
        <w:rPr>
          <w:sz w:val="20"/>
          <w:lang w:val="ro-RO"/>
        </w:rPr>
        <w:t>ntreg limbul frunzei. Frunzele se îngălbenesc și cad.</w:t>
      </w:r>
    </w:p>
    <w:p w:rsidR="001921D7" w:rsidRDefault="001921D7" w:rsidP="007D10F0">
      <w:pPr>
        <w:pStyle w:val="BodyText"/>
        <w:jc w:val="both"/>
        <w:rPr>
          <w:sz w:val="20"/>
          <w:lang w:val="ro-RO"/>
        </w:rPr>
        <w:sectPr w:rsidR="001921D7" w:rsidSect="000C7DF7">
          <w:type w:val="continuous"/>
          <w:pgSz w:w="12240" w:h="15840"/>
          <w:pgMar w:top="306" w:right="663" w:bottom="306" w:left="1230" w:header="709" w:footer="709" w:gutter="0"/>
          <w:cols w:num="2" w:space="709" w:equalWidth="0">
            <w:col w:w="2879" w:space="2"/>
            <w:col w:w="7466"/>
          </w:cols>
          <w:docGrid w:linePitch="360"/>
        </w:sectPr>
      </w:pPr>
    </w:p>
    <w:p w:rsidR="00A2750E" w:rsidRDefault="00A2750E" w:rsidP="007D10F0">
      <w:pPr>
        <w:pStyle w:val="BodyText"/>
        <w:jc w:val="both"/>
        <w:rPr>
          <w:b/>
          <w:sz w:val="20"/>
          <w:lang w:val="ro-RO"/>
        </w:rPr>
      </w:pPr>
    </w:p>
    <w:p w:rsidR="00696861" w:rsidRDefault="00273075" w:rsidP="00A2750E">
      <w:pPr>
        <w:pStyle w:val="BodyText"/>
        <w:ind w:firstLine="720"/>
        <w:jc w:val="both"/>
        <w:rPr>
          <w:sz w:val="20"/>
          <w:lang w:val="ro-RO"/>
        </w:rPr>
      </w:pPr>
      <w:r w:rsidRPr="00273075">
        <w:rPr>
          <w:b/>
          <w:sz w:val="20"/>
          <w:lang w:val="ro-RO"/>
        </w:rPr>
        <w:t>Ciuruirea la cires și vișin</w:t>
      </w:r>
      <w:r w:rsidR="00C951BD">
        <w:rPr>
          <w:b/>
          <w:sz w:val="20"/>
          <w:lang w:val="ro-RO"/>
        </w:rPr>
        <w:t xml:space="preserve"> </w:t>
      </w:r>
      <w:r>
        <w:rPr>
          <w:i/>
          <w:sz w:val="20"/>
          <w:lang w:val="ro-RO"/>
        </w:rPr>
        <w:t>(Stigmina</w:t>
      </w:r>
      <w:r w:rsidR="00C951BD">
        <w:rPr>
          <w:i/>
          <w:sz w:val="20"/>
          <w:lang w:val="ro-RO"/>
        </w:rPr>
        <w:t xml:space="preserve"> </w:t>
      </w:r>
      <w:r>
        <w:rPr>
          <w:i/>
          <w:sz w:val="20"/>
          <w:lang w:val="ro-RO"/>
        </w:rPr>
        <w:t xml:space="preserve">carpophilla) </w:t>
      </w:r>
      <w:r w:rsidR="002475B5">
        <w:rPr>
          <w:sz w:val="20"/>
          <w:lang w:val="ro-RO"/>
        </w:rPr>
        <w:t xml:space="preserve">Boala apare frecvent, </w:t>
      </w:r>
      <w:r w:rsidR="009C5880">
        <w:rPr>
          <w:sz w:val="20"/>
          <w:lang w:val="ro-RO"/>
        </w:rPr>
        <w:t>î</w:t>
      </w:r>
      <w:r w:rsidR="002475B5">
        <w:rPr>
          <w:sz w:val="20"/>
          <w:lang w:val="ro-RO"/>
        </w:rPr>
        <w:t>n primăverile umede (cu precipita</w:t>
      </w:r>
      <w:r w:rsidR="009C5880">
        <w:rPr>
          <w:sz w:val="20"/>
          <w:lang w:val="ro-RO"/>
        </w:rPr>
        <w:t>ț</w:t>
      </w:r>
      <w:r w:rsidR="002475B5">
        <w:rPr>
          <w:sz w:val="20"/>
          <w:lang w:val="ro-RO"/>
        </w:rPr>
        <w:t xml:space="preserve">ii abundente) care urmează după ierni cu temperaturi moderate </w:t>
      </w:r>
      <w:r w:rsidR="002475B5">
        <w:rPr>
          <w:i/>
          <w:sz w:val="20"/>
          <w:lang w:val="ro-RO"/>
        </w:rPr>
        <w:t>(mai blânde)</w:t>
      </w:r>
      <w:r w:rsidR="002475B5">
        <w:rPr>
          <w:sz w:val="20"/>
          <w:lang w:val="ro-RO"/>
        </w:rPr>
        <w:t xml:space="preserve"> care au permis supraviețuirea sporilor ciupercii. </w:t>
      </w:r>
      <w:r w:rsidR="009C5880">
        <w:rPr>
          <w:sz w:val="20"/>
          <w:lang w:val="ro-RO"/>
        </w:rPr>
        <w:t>Î</w:t>
      </w:r>
      <w:r w:rsidR="002475B5">
        <w:rPr>
          <w:sz w:val="20"/>
          <w:lang w:val="ro-RO"/>
        </w:rPr>
        <w:t xml:space="preserve">n perioada de vegetație, ciuperca se inmulțește și răspândește </w:t>
      </w:r>
      <w:r w:rsidR="009C5880">
        <w:rPr>
          <w:sz w:val="20"/>
          <w:lang w:val="ro-RO"/>
        </w:rPr>
        <w:t>î</w:t>
      </w:r>
      <w:r w:rsidR="002475B5">
        <w:rPr>
          <w:sz w:val="20"/>
          <w:lang w:val="ro-RO"/>
        </w:rPr>
        <w:t xml:space="preserve">n condiții de umiditate crescută și temperaturi cuprinse intre 2 – 24 </w:t>
      </w:r>
      <w:r w:rsidR="002475B5">
        <w:rPr>
          <w:sz w:val="20"/>
          <w:vertAlign w:val="superscript"/>
          <w:lang w:val="ro-RO"/>
        </w:rPr>
        <w:t>O</w:t>
      </w:r>
      <w:r w:rsidR="002475B5">
        <w:rPr>
          <w:sz w:val="20"/>
          <w:lang w:val="ro-RO"/>
        </w:rPr>
        <w:t>C</w:t>
      </w:r>
      <w:r w:rsidR="00696861">
        <w:rPr>
          <w:sz w:val="20"/>
          <w:lang w:val="ro-RO"/>
        </w:rPr>
        <w:t xml:space="preserve">. Simptomele pe frunze se observă prin pete de culoare brun-deschis cu o aură brun-roșietică, cu diametrul de 2 – 4 mm. După un timp petele se necrozează, se desprind și cad, </w:t>
      </w:r>
      <w:r w:rsidR="009C5880">
        <w:rPr>
          <w:sz w:val="20"/>
          <w:lang w:val="ro-RO"/>
        </w:rPr>
        <w:t>î</w:t>
      </w:r>
      <w:r w:rsidR="00696861">
        <w:rPr>
          <w:sz w:val="20"/>
          <w:lang w:val="ro-RO"/>
        </w:rPr>
        <w:t xml:space="preserve">n final frunza va avea un aspect ciuruit. </w:t>
      </w:r>
    </w:p>
    <w:p w:rsidR="00A2750E" w:rsidRDefault="00A2750E" w:rsidP="00A2750E">
      <w:pPr>
        <w:pStyle w:val="BodyText"/>
        <w:ind w:firstLine="720"/>
        <w:jc w:val="both"/>
        <w:rPr>
          <w:sz w:val="20"/>
          <w:lang w:val="ro-RO"/>
        </w:rPr>
      </w:pPr>
    </w:p>
    <w:p w:rsidR="00696861" w:rsidRDefault="00696861" w:rsidP="007D10F0">
      <w:pPr>
        <w:pStyle w:val="BodyText"/>
        <w:jc w:val="both"/>
        <w:rPr>
          <w:sz w:val="20"/>
          <w:lang w:val="ro-RO"/>
        </w:rPr>
      </w:pPr>
      <w:r w:rsidRPr="00696861">
        <w:rPr>
          <w:noProof/>
          <w:sz w:val="20"/>
          <w:lang w:val="ro-RO" w:eastAsia="ro-RO"/>
        </w:rPr>
        <w:lastRenderedPageBreak/>
        <w:drawing>
          <wp:inline distT="0" distB="0" distL="0" distR="0">
            <wp:extent cx="1704436" cy="940800"/>
            <wp:effectExtent l="0" t="0" r="0" b="0"/>
            <wp:docPr id="8" name="Imagine 10" descr="Ciuruirea frunzelor pomilor sâmburoși: recunoaștere, prevenire și combatere  | Paradis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uruirea frunzelor pomilor sâmburoși: recunoaștere, prevenire și combatere  | Paradis Verde"/>
                    <pic:cNvPicPr>
                      <a:picLocks noChangeAspect="1" noChangeArrowheads="1"/>
                    </pic:cNvPicPr>
                  </pic:nvPicPr>
                  <pic:blipFill>
                    <a:blip r:embed="rId10" cstate="print"/>
                    <a:srcRect/>
                    <a:stretch>
                      <a:fillRect/>
                    </a:stretch>
                  </pic:blipFill>
                  <pic:spPr bwMode="auto">
                    <a:xfrm>
                      <a:off x="0" y="0"/>
                      <a:ext cx="1707903" cy="942714"/>
                    </a:xfrm>
                    <a:prstGeom prst="rect">
                      <a:avLst/>
                    </a:prstGeom>
                    <a:noFill/>
                    <a:ln w="9525">
                      <a:noFill/>
                      <a:miter lim="800000"/>
                      <a:headEnd/>
                      <a:tailEnd/>
                    </a:ln>
                  </pic:spPr>
                </pic:pic>
              </a:graphicData>
            </a:graphic>
          </wp:inline>
        </w:drawing>
      </w:r>
    </w:p>
    <w:p w:rsidR="00696861" w:rsidRDefault="00696861" w:rsidP="007D10F0">
      <w:pPr>
        <w:pStyle w:val="BodyText"/>
        <w:jc w:val="both"/>
        <w:rPr>
          <w:sz w:val="20"/>
          <w:lang w:val="ro-RO"/>
        </w:rPr>
      </w:pPr>
    </w:p>
    <w:p w:rsidR="00696861" w:rsidRDefault="00696861" w:rsidP="007D10F0">
      <w:pPr>
        <w:pStyle w:val="BodyText"/>
        <w:jc w:val="both"/>
        <w:rPr>
          <w:sz w:val="20"/>
          <w:lang w:val="ro-RO"/>
        </w:rPr>
        <w:sectPr w:rsidR="00696861" w:rsidSect="000C7DF7">
          <w:type w:val="continuous"/>
          <w:pgSz w:w="12240" w:h="15840"/>
          <w:pgMar w:top="306" w:right="663" w:bottom="306" w:left="1230" w:header="709" w:footer="709" w:gutter="0"/>
          <w:cols w:num="2" w:space="709" w:equalWidth="0">
            <w:col w:w="7771" w:space="71"/>
            <w:col w:w="2505"/>
          </w:cols>
          <w:docGrid w:linePitch="360"/>
        </w:sectPr>
      </w:pPr>
    </w:p>
    <w:p w:rsidR="006550FD" w:rsidRPr="00A85ACA" w:rsidRDefault="0097416D" w:rsidP="001D1A93">
      <w:pPr>
        <w:pStyle w:val="BodyText"/>
        <w:ind w:firstLine="720"/>
        <w:jc w:val="both"/>
        <w:rPr>
          <w:sz w:val="20"/>
          <w:lang w:val="pt-BR"/>
        </w:rPr>
      </w:pPr>
      <w:r w:rsidRPr="0097416D">
        <w:rPr>
          <w:b/>
          <w:sz w:val="20"/>
          <w:lang w:val="ro-RO"/>
        </w:rPr>
        <w:lastRenderedPageBreak/>
        <w:t>Viespea seminţelor</w:t>
      </w:r>
      <w:r w:rsidR="00C951BD">
        <w:rPr>
          <w:b/>
          <w:sz w:val="20"/>
          <w:lang w:val="ro-RO"/>
        </w:rPr>
        <w:t xml:space="preserve"> </w:t>
      </w:r>
      <w:r>
        <w:rPr>
          <w:i/>
          <w:sz w:val="20"/>
          <w:lang w:val="ro-RO"/>
        </w:rPr>
        <w:t>(Eurytoma</w:t>
      </w:r>
      <w:r w:rsidR="00C951BD">
        <w:rPr>
          <w:i/>
          <w:sz w:val="20"/>
          <w:lang w:val="ro-RO"/>
        </w:rPr>
        <w:t xml:space="preserve"> </w:t>
      </w:r>
      <w:r>
        <w:rPr>
          <w:i/>
          <w:sz w:val="20"/>
          <w:lang w:val="ro-RO"/>
        </w:rPr>
        <w:t>schreineri)</w:t>
      </w:r>
      <w:r w:rsidR="009C5880">
        <w:rPr>
          <w:i/>
          <w:sz w:val="20"/>
          <w:lang w:val="ro-RO"/>
        </w:rPr>
        <w:t xml:space="preserve"> </w:t>
      </w:r>
      <w:r w:rsidR="00A85ACA" w:rsidRPr="00A85ACA">
        <w:rPr>
          <w:sz w:val="20"/>
          <w:lang w:val="ro-RO"/>
        </w:rPr>
        <w:t>este</w:t>
      </w:r>
      <w:r w:rsidR="009C5880">
        <w:rPr>
          <w:sz w:val="20"/>
          <w:lang w:val="ro-RO"/>
        </w:rPr>
        <w:t xml:space="preserve"> </w:t>
      </w:r>
      <w:r w:rsidR="00A85ACA">
        <w:rPr>
          <w:sz w:val="20"/>
          <w:lang w:val="ro-RO"/>
        </w:rPr>
        <w:t>un dă</w:t>
      </w:r>
      <w:r w:rsidR="001D1A93">
        <w:rPr>
          <w:sz w:val="20"/>
          <w:lang w:val="ro-RO"/>
        </w:rPr>
        <w:t>uător frecvent intâlnit la prun,</w:t>
      </w:r>
      <w:r w:rsidR="00A85ACA">
        <w:rPr>
          <w:sz w:val="20"/>
          <w:lang w:val="ro-RO"/>
        </w:rPr>
        <w:t xml:space="preserve"> care provoacă pagube majore afectând grav producția. D</w:t>
      </w:r>
      <w:r w:rsidR="00901CCA">
        <w:rPr>
          <w:sz w:val="20"/>
          <w:lang w:val="ro-RO"/>
        </w:rPr>
        <w:t>ăunătorul are 1 generație pe an</w:t>
      </w:r>
      <w:r w:rsidR="00A85ACA">
        <w:rPr>
          <w:sz w:val="20"/>
          <w:lang w:val="ro-RO"/>
        </w:rPr>
        <w:t>.</w:t>
      </w:r>
      <w:r w:rsidR="00B156C8">
        <w:rPr>
          <w:sz w:val="20"/>
          <w:lang w:val="ro-RO"/>
        </w:rPr>
        <w:t xml:space="preserve"> Iernează ca larvă </w:t>
      </w:r>
      <w:r w:rsidR="009C5880">
        <w:rPr>
          <w:sz w:val="20"/>
          <w:lang w:val="ro-RO"/>
        </w:rPr>
        <w:t>î</w:t>
      </w:r>
      <w:r w:rsidR="00B156C8">
        <w:rPr>
          <w:sz w:val="20"/>
          <w:lang w:val="ro-RO"/>
        </w:rPr>
        <w:t>n sâmburii căzuți sub pomi.</w:t>
      </w:r>
      <w:r w:rsidR="00A85ACA">
        <w:rPr>
          <w:sz w:val="20"/>
          <w:lang w:val="ro-RO"/>
        </w:rPr>
        <w:t xml:space="preserve"> </w:t>
      </w:r>
      <w:r w:rsidR="009C5880">
        <w:rPr>
          <w:sz w:val="20"/>
          <w:lang w:val="ro-RO"/>
        </w:rPr>
        <w:t>Î</w:t>
      </w:r>
      <w:r w:rsidR="00A85ACA">
        <w:rPr>
          <w:sz w:val="20"/>
          <w:lang w:val="ro-RO"/>
        </w:rPr>
        <w:t>n luna aprili</w:t>
      </w:r>
      <w:r w:rsidR="001D1A93">
        <w:rPr>
          <w:sz w:val="20"/>
          <w:lang w:val="ro-RO"/>
        </w:rPr>
        <w:t>e, când temperatura trece de 10</w:t>
      </w:r>
      <w:r w:rsidR="00A85ACA">
        <w:rPr>
          <w:sz w:val="20"/>
          <w:lang w:val="ro-RO"/>
        </w:rPr>
        <w:t xml:space="preserve">–15 </w:t>
      </w:r>
      <w:r w:rsidR="001D1A93">
        <w:rPr>
          <w:sz w:val="20"/>
          <w:vertAlign w:val="superscript"/>
          <w:lang w:val="ro-RO"/>
        </w:rPr>
        <w:t>O</w:t>
      </w:r>
      <w:r w:rsidR="00A85ACA">
        <w:rPr>
          <w:sz w:val="20"/>
          <w:lang w:val="ro-RO"/>
        </w:rPr>
        <w:t xml:space="preserve"> C, larvele hibernante se tr</w:t>
      </w:r>
      <w:r w:rsidR="001D1A93">
        <w:rPr>
          <w:sz w:val="20"/>
          <w:lang w:val="ro-RO"/>
        </w:rPr>
        <w:t xml:space="preserve">ansformă </w:t>
      </w:r>
      <w:r w:rsidR="00E0155E">
        <w:rPr>
          <w:sz w:val="20"/>
          <w:lang w:val="ro-RO"/>
        </w:rPr>
        <w:t>î</w:t>
      </w:r>
      <w:r w:rsidR="001D1A93">
        <w:rPr>
          <w:sz w:val="20"/>
          <w:lang w:val="ro-RO"/>
        </w:rPr>
        <w:t>n pupe.</w:t>
      </w:r>
      <w:r w:rsidR="00E0155E">
        <w:rPr>
          <w:sz w:val="20"/>
          <w:lang w:val="ro-RO"/>
        </w:rPr>
        <w:t xml:space="preserve"> </w:t>
      </w:r>
      <w:r w:rsidR="001D1A93">
        <w:rPr>
          <w:sz w:val="20"/>
          <w:lang w:val="ro-RO"/>
        </w:rPr>
        <w:t>D</w:t>
      </w:r>
      <w:r w:rsidR="00A85ACA">
        <w:rPr>
          <w:sz w:val="20"/>
          <w:lang w:val="ro-RO"/>
        </w:rPr>
        <w:t xml:space="preserve">upă o perioadă de aproximativ 30 de zile, adultul părăsește samburele, printr-un orificiu de 1,5 mm. După o perioadă de zbor și imperechere, femelele depun ouale </w:t>
      </w:r>
      <w:r w:rsidR="00BD5B96">
        <w:rPr>
          <w:sz w:val="20"/>
          <w:lang w:val="ro-RO"/>
        </w:rPr>
        <w:t>î</w:t>
      </w:r>
      <w:r w:rsidR="00A85ACA">
        <w:rPr>
          <w:sz w:val="20"/>
          <w:lang w:val="ro-RO"/>
        </w:rPr>
        <w:t>n prunele crude, abia formate.</w:t>
      </w:r>
      <w:r w:rsidR="00BD5B96">
        <w:rPr>
          <w:sz w:val="20"/>
          <w:lang w:val="ro-RO"/>
        </w:rPr>
        <w:t xml:space="preserve"> </w:t>
      </w:r>
      <w:r w:rsidR="00B156C8">
        <w:rPr>
          <w:sz w:val="20"/>
          <w:lang w:val="ro-RO"/>
        </w:rPr>
        <w:t xml:space="preserve">Până la venirea iernii larvele se dezvoltă complet </w:t>
      </w:r>
      <w:r w:rsidR="00E0155E">
        <w:rPr>
          <w:sz w:val="20"/>
          <w:lang w:val="ro-RO"/>
        </w:rPr>
        <w:t>î</w:t>
      </w:r>
      <w:r w:rsidR="00B156C8">
        <w:rPr>
          <w:sz w:val="20"/>
          <w:lang w:val="ro-RO"/>
        </w:rPr>
        <w:t>n sâmbure.</w:t>
      </w:r>
      <w:r w:rsidR="00E0155E">
        <w:rPr>
          <w:sz w:val="20"/>
          <w:lang w:val="ro-RO"/>
        </w:rPr>
        <w:t xml:space="preserve"> </w:t>
      </w:r>
      <w:r w:rsidR="00B156C8">
        <w:rPr>
          <w:sz w:val="20"/>
          <w:lang w:val="ro-RO"/>
        </w:rPr>
        <w:t>Larva consumă sămânța din interiorul sâmburelui, provocând o c</w:t>
      </w:r>
      <w:r w:rsidR="00901CCA">
        <w:rPr>
          <w:sz w:val="20"/>
          <w:lang w:val="ro-RO"/>
        </w:rPr>
        <w:t xml:space="preserve">ădere masivă a fructelor atacate, inainte de </w:t>
      </w:r>
      <w:r w:rsidR="00B156C8">
        <w:rPr>
          <w:sz w:val="20"/>
          <w:lang w:val="ro-RO"/>
        </w:rPr>
        <w:t xml:space="preserve"> maturitate.</w:t>
      </w:r>
    </w:p>
    <w:p w:rsidR="001D1A93" w:rsidRDefault="00B156C8" w:rsidP="001D1A93">
      <w:pPr>
        <w:pStyle w:val="BodyText"/>
        <w:rPr>
          <w:sz w:val="20"/>
          <w:lang w:val="pt-BR"/>
        </w:rPr>
      </w:pPr>
      <w:r>
        <w:rPr>
          <w:noProof/>
          <w:lang w:val="ro-RO" w:eastAsia="ro-RO"/>
        </w:rPr>
        <w:lastRenderedPageBreak/>
        <w:drawing>
          <wp:inline distT="0" distB="0" distL="0" distR="0">
            <wp:extent cx="1271270" cy="1174750"/>
            <wp:effectExtent l="19050" t="0" r="5080" b="0"/>
            <wp:docPr id="13" name="Imagine 13" descr="Viespea samburilor de prun - biologie, raspandire si combatere - Sănătatea  Plante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espea samburilor de prun - biologie, raspandire si combatere - Sănătatea  Plantelor"/>
                    <pic:cNvPicPr>
                      <a:picLocks noChangeAspect="1" noChangeArrowheads="1"/>
                    </pic:cNvPicPr>
                  </pic:nvPicPr>
                  <pic:blipFill>
                    <a:blip r:embed="rId11" cstate="print"/>
                    <a:srcRect/>
                    <a:stretch>
                      <a:fillRect/>
                    </a:stretch>
                  </pic:blipFill>
                  <pic:spPr bwMode="auto">
                    <a:xfrm>
                      <a:off x="0" y="0"/>
                      <a:ext cx="1278019" cy="1180987"/>
                    </a:xfrm>
                    <a:prstGeom prst="rect">
                      <a:avLst/>
                    </a:prstGeom>
                    <a:noFill/>
                    <a:ln w="9525">
                      <a:noFill/>
                      <a:miter lim="800000"/>
                      <a:headEnd/>
                      <a:tailEnd/>
                    </a:ln>
                  </pic:spPr>
                </pic:pic>
              </a:graphicData>
            </a:graphic>
          </wp:inline>
        </w:drawing>
      </w:r>
      <w:r w:rsidR="001D1A93" w:rsidRPr="001D1A93">
        <w:rPr>
          <w:noProof/>
          <w:lang w:val="ro-RO" w:eastAsia="ro-RO"/>
        </w:rPr>
        <w:drawing>
          <wp:inline distT="0" distB="0" distL="0" distR="0">
            <wp:extent cx="1282700" cy="1174750"/>
            <wp:effectExtent l="19050" t="0" r="0" b="0"/>
            <wp:docPr id="12" name="Imagine 16" descr="Viespea sâmburilor de prun – GLISS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espea sâmburilor de prun – GLISSANDO"/>
                    <pic:cNvPicPr>
                      <a:picLocks noChangeAspect="1" noChangeArrowheads="1"/>
                    </pic:cNvPicPr>
                  </pic:nvPicPr>
                  <pic:blipFill>
                    <a:blip r:embed="rId12" cstate="print"/>
                    <a:srcRect/>
                    <a:stretch>
                      <a:fillRect/>
                    </a:stretch>
                  </pic:blipFill>
                  <pic:spPr bwMode="auto">
                    <a:xfrm>
                      <a:off x="0" y="0"/>
                      <a:ext cx="1282114" cy="1174213"/>
                    </a:xfrm>
                    <a:prstGeom prst="rect">
                      <a:avLst/>
                    </a:prstGeom>
                    <a:noFill/>
                    <a:ln w="9525">
                      <a:noFill/>
                      <a:miter lim="800000"/>
                      <a:headEnd/>
                      <a:tailEnd/>
                    </a:ln>
                  </pic:spPr>
                </pic:pic>
              </a:graphicData>
            </a:graphic>
          </wp:inline>
        </w:drawing>
      </w:r>
    </w:p>
    <w:p w:rsidR="00A2750E" w:rsidRDefault="00A2750E" w:rsidP="001D1A93">
      <w:pPr>
        <w:pStyle w:val="BodyText"/>
        <w:rPr>
          <w:sz w:val="20"/>
          <w:lang w:val="pt-BR"/>
        </w:rPr>
      </w:pPr>
    </w:p>
    <w:p w:rsidR="00A2750E" w:rsidRDefault="00A2750E" w:rsidP="001D1A93">
      <w:pPr>
        <w:pStyle w:val="BodyText"/>
        <w:rPr>
          <w:sz w:val="20"/>
          <w:lang w:val="pt-BR"/>
        </w:rPr>
      </w:pPr>
    </w:p>
    <w:p w:rsidR="00A2750E" w:rsidRDefault="00A2750E" w:rsidP="001D1A93">
      <w:pPr>
        <w:pStyle w:val="BodyText"/>
        <w:rPr>
          <w:sz w:val="20"/>
          <w:lang w:val="pt-BR"/>
        </w:rPr>
        <w:sectPr w:rsidR="00A2750E" w:rsidSect="000C7DF7">
          <w:type w:val="continuous"/>
          <w:pgSz w:w="12240" w:h="15840"/>
          <w:pgMar w:top="306" w:right="340" w:bottom="306" w:left="1134" w:header="709" w:footer="709" w:gutter="0"/>
          <w:cols w:num="2" w:space="709" w:equalWidth="0">
            <w:col w:w="6521" w:space="142"/>
            <w:col w:w="4103"/>
          </w:cols>
          <w:docGrid w:linePitch="360"/>
        </w:sectPr>
      </w:pPr>
    </w:p>
    <w:p w:rsidR="006D7AAA" w:rsidRDefault="006D7AAA" w:rsidP="006D7AAA">
      <w:pPr>
        <w:pStyle w:val="BodyText"/>
        <w:rPr>
          <w:b/>
          <w:sz w:val="20"/>
          <w:lang w:val="ro-RO"/>
        </w:rPr>
      </w:pPr>
      <w:r w:rsidRPr="006D7AAA">
        <w:rPr>
          <w:b/>
          <w:noProof/>
          <w:sz w:val="20"/>
          <w:lang w:val="ro-RO" w:eastAsia="ro-RO"/>
        </w:rPr>
        <w:lastRenderedPageBreak/>
        <w:drawing>
          <wp:inline distT="0" distB="0" distL="0" distR="0">
            <wp:extent cx="1905285" cy="1207729"/>
            <wp:effectExtent l="19050" t="0" r="0" b="0"/>
            <wp:docPr id="14" name="Imagine 19" descr="Pătarea roșie a frunzelor de prun: lucrări și tratamente cheie pentru  prevenirea îmbolnăvirii | Paradis Ve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ătarea roșie a frunzelor de prun: lucrări și tratamente cheie pentru  prevenirea îmbolnăvirii | Paradis Verde"/>
                    <pic:cNvPicPr>
                      <a:picLocks noChangeAspect="1" noChangeArrowheads="1"/>
                    </pic:cNvPicPr>
                  </pic:nvPicPr>
                  <pic:blipFill>
                    <a:blip r:embed="rId13" cstate="print"/>
                    <a:srcRect/>
                    <a:stretch>
                      <a:fillRect/>
                    </a:stretch>
                  </pic:blipFill>
                  <pic:spPr bwMode="auto">
                    <a:xfrm>
                      <a:off x="0" y="0"/>
                      <a:ext cx="1908542" cy="1209794"/>
                    </a:xfrm>
                    <a:prstGeom prst="rect">
                      <a:avLst/>
                    </a:prstGeom>
                    <a:noFill/>
                    <a:ln w="9525">
                      <a:noFill/>
                      <a:miter lim="800000"/>
                      <a:headEnd/>
                      <a:tailEnd/>
                    </a:ln>
                  </pic:spPr>
                </pic:pic>
              </a:graphicData>
            </a:graphic>
          </wp:inline>
        </w:drawing>
      </w:r>
    </w:p>
    <w:p w:rsidR="001D1A93" w:rsidRPr="00013445" w:rsidRDefault="00C951BD" w:rsidP="006D7AAA">
      <w:pPr>
        <w:pStyle w:val="BodyText"/>
        <w:ind w:firstLine="720"/>
        <w:rPr>
          <w:sz w:val="20"/>
          <w:lang w:val="pt-BR"/>
        </w:rPr>
      </w:pPr>
      <w:r w:rsidRPr="00013445">
        <w:rPr>
          <w:b/>
          <w:sz w:val="20"/>
          <w:lang w:val="ro-RO"/>
        </w:rPr>
        <w:lastRenderedPageBreak/>
        <w:t xml:space="preserve">Pătarea roşie a </w:t>
      </w:r>
      <w:r>
        <w:rPr>
          <w:b/>
          <w:sz w:val="20"/>
          <w:lang w:val="ro-RO"/>
        </w:rPr>
        <w:t>frunzelor (</w:t>
      </w:r>
      <w:r w:rsidRPr="00C951BD">
        <w:rPr>
          <w:i/>
          <w:sz w:val="20"/>
          <w:lang w:val="ro-RO"/>
        </w:rPr>
        <w:t>Polystigma rubrum</w:t>
      </w:r>
      <w:r>
        <w:rPr>
          <w:b/>
          <w:i/>
          <w:sz w:val="20"/>
          <w:lang w:val="ro-RO"/>
        </w:rPr>
        <w:t>)</w:t>
      </w:r>
      <w:r>
        <w:rPr>
          <w:sz w:val="20"/>
          <w:lang w:val="ro-RO"/>
        </w:rPr>
        <w:t xml:space="preserve"> </w:t>
      </w:r>
      <w:r>
        <w:rPr>
          <w:b/>
          <w:sz w:val="20"/>
          <w:lang w:val="ro-RO"/>
        </w:rPr>
        <w:t xml:space="preserve">Pătarea roşie a frunzelor ( </w:t>
      </w:r>
      <w:r>
        <w:rPr>
          <w:i/>
          <w:sz w:val="20"/>
          <w:lang w:val="ro-RO"/>
        </w:rPr>
        <w:t xml:space="preserve">Polystigma </w:t>
      </w:r>
      <w:r w:rsidR="00480D78">
        <w:rPr>
          <w:i/>
          <w:sz w:val="20"/>
          <w:lang w:val="ro-RO"/>
        </w:rPr>
        <w:t xml:space="preserve">rubrum,) </w:t>
      </w:r>
      <w:r>
        <w:rPr>
          <w:sz w:val="20"/>
          <w:lang w:val="ro-RO"/>
        </w:rPr>
        <w:t xml:space="preserve">se manifestă </w:t>
      </w:r>
      <w:r w:rsidR="00013445" w:rsidRPr="00F27E72">
        <w:rPr>
          <w:color w:val="000000"/>
          <w:sz w:val="20"/>
          <w:shd w:val="clear" w:color="auto" w:fill="FFFFFF"/>
          <w:lang w:val="ro-RO"/>
        </w:rPr>
        <w:t>sub formă de pete rotunde, de 6 – 8 mm</w:t>
      </w:r>
      <w:r w:rsidR="00F229FF" w:rsidRPr="00F27E72">
        <w:rPr>
          <w:color w:val="000000"/>
          <w:sz w:val="20"/>
          <w:shd w:val="clear" w:color="auto" w:fill="FFFFFF"/>
          <w:lang w:val="ro-RO"/>
        </w:rPr>
        <w:t xml:space="preserve"> </w:t>
      </w:r>
      <w:r w:rsidR="00BD5B96">
        <w:rPr>
          <w:color w:val="000000"/>
          <w:sz w:val="20"/>
          <w:shd w:val="clear" w:color="auto" w:fill="FFFFFF"/>
          <w:lang w:val="ro-RO"/>
        </w:rPr>
        <w:t>î</w:t>
      </w:r>
      <w:r w:rsidR="00F229FF" w:rsidRPr="00F27E72">
        <w:rPr>
          <w:color w:val="000000"/>
          <w:sz w:val="20"/>
          <w:shd w:val="clear" w:color="auto" w:fill="FFFFFF"/>
          <w:lang w:val="ro-RO"/>
        </w:rPr>
        <w:t>n diametru</w:t>
      </w:r>
      <w:r w:rsidR="00013445" w:rsidRPr="00F27E72">
        <w:rPr>
          <w:color w:val="000000"/>
          <w:sz w:val="20"/>
          <w:shd w:val="clear" w:color="auto" w:fill="FFFFFF"/>
          <w:lang w:val="ro-RO"/>
        </w:rPr>
        <w:t>,</w:t>
      </w:r>
      <w:r w:rsidR="00F229FF" w:rsidRPr="00F27E72">
        <w:rPr>
          <w:color w:val="000000"/>
          <w:sz w:val="20"/>
          <w:shd w:val="clear" w:color="auto" w:fill="FFFFFF"/>
          <w:lang w:val="ro-RO"/>
        </w:rPr>
        <w:t xml:space="preserve"> de culoare</w:t>
      </w:r>
      <w:r w:rsidR="00480D78">
        <w:rPr>
          <w:color w:val="000000"/>
          <w:sz w:val="20"/>
          <w:shd w:val="clear" w:color="auto" w:fill="FFFFFF"/>
          <w:lang w:val="ro-RO"/>
        </w:rPr>
        <w:t xml:space="preserve"> </w:t>
      </w:r>
      <w:r w:rsidR="00F229FF" w:rsidRPr="00F27E72">
        <w:rPr>
          <w:color w:val="000000"/>
          <w:sz w:val="20"/>
          <w:shd w:val="clear" w:color="auto" w:fill="FFFFFF"/>
          <w:lang w:val="ro-RO"/>
        </w:rPr>
        <w:t>galben-verzui</w:t>
      </w:r>
      <w:r w:rsidR="00013445" w:rsidRPr="00F27E72">
        <w:rPr>
          <w:color w:val="000000"/>
          <w:sz w:val="20"/>
          <w:shd w:val="clear" w:color="auto" w:fill="FFFFFF"/>
          <w:lang w:val="ro-RO"/>
        </w:rPr>
        <w:t>, apoi roșii-cărămizii; pe partea inferioară a limbului</w:t>
      </w:r>
      <w:r w:rsidR="00F229FF" w:rsidRPr="00F27E72">
        <w:rPr>
          <w:color w:val="000000"/>
          <w:sz w:val="20"/>
          <w:shd w:val="clear" w:color="auto" w:fill="FFFFFF"/>
          <w:lang w:val="ro-RO"/>
        </w:rPr>
        <w:t xml:space="preserve"> petele sunt ușor bombate, pe acestea se </w:t>
      </w:r>
      <w:r w:rsidR="00013445" w:rsidRPr="00F27E72">
        <w:rPr>
          <w:color w:val="000000"/>
          <w:sz w:val="20"/>
          <w:shd w:val="clear" w:color="auto" w:fill="FFFFFF"/>
          <w:lang w:val="ro-RO"/>
        </w:rPr>
        <w:t xml:space="preserve"> dezvoltă punctișoare mici, brune (fructificațiile ciupercii). </w:t>
      </w:r>
      <w:r w:rsidR="00013445" w:rsidRPr="00F27E72">
        <w:rPr>
          <w:color w:val="000000"/>
          <w:sz w:val="20"/>
          <w:shd w:val="clear" w:color="auto" w:fill="FFFFFF"/>
          <w:lang w:val="pt-BR"/>
        </w:rPr>
        <w:t xml:space="preserve">Dacă atacul este foarte puternic, are loc o defoliere timpurie, iar fructele cad, în final, masiv. </w:t>
      </w:r>
      <w:r w:rsidR="00F229FF" w:rsidRPr="00F27E72">
        <w:rPr>
          <w:color w:val="000000"/>
          <w:sz w:val="20"/>
          <w:shd w:val="clear" w:color="auto" w:fill="FFFFFF"/>
          <w:lang w:val="pt-BR"/>
        </w:rPr>
        <w:t xml:space="preserve">Defolierea prematură influențează negativ creșterea ramurilor, maturarea lemnului și diferențierea mugurilor de rod pentru anul următor. Transmiterea ciupercii de la un an la altul se face prin frunzele infectate aflate pe sol. </w:t>
      </w:r>
    </w:p>
    <w:p w:rsidR="006D7AAA" w:rsidRDefault="006D7AAA" w:rsidP="007D10F0">
      <w:pPr>
        <w:pStyle w:val="BodyText"/>
        <w:jc w:val="both"/>
        <w:rPr>
          <w:sz w:val="20"/>
          <w:lang w:val="pt-BR"/>
        </w:rPr>
      </w:pPr>
    </w:p>
    <w:p w:rsidR="00A2750E" w:rsidRDefault="00A2750E" w:rsidP="007D10F0">
      <w:pPr>
        <w:pStyle w:val="BodyText"/>
        <w:jc w:val="both"/>
        <w:rPr>
          <w:sz w:val="20"/>
          <w:lang w:val="pt-BR"/>
        </w:rPr>
        <w:sectPr w:rsidR="00A2750E" w:rsidSect="000C7DF7">
          <w:type w:val="continuous"/>
          <w:pgSz w:w="12240" w:h="15840"/>
          <w:pgMar w:top="306" w:right="333" w:bottom="306" w:left="1230" w:header="709" w:footer="709" w:gutter="0"/>
          <w:cols w:num="2" w:space="709" w:equalWidth="0">
            <w:col w:w="2598" w:space="141"/>
            <w:col w:w="7938"/>
          </w:cols>
          <w:docGrid w:linePitch="360"/>
        </w:sectPr>
      </w:pPr>
    </w:p>
    <w:p w:rsidR="00C46A12" w:rsidRPr="00480D78" w:rsidRDefault="007D10F0" w:rsidP="00C46A12">
      <w:pPr>
        <w:pStyle w:val="BodyText"/>
        <w:numPr>
          <w:ilvl w:val="0"/>
          <w:numId w:val="1"/>
        </w:numPr>
        <w:jc w:val="both"/>
        <w:rPr>
          <w:b/>
          <w:sz w:val="20"/>
          <w:lang w:val="pt-BR"/>
        </w:rPr>
      </w:pPr>
      <w:r w:rsidRPr="00480D78">
        <w:rPr>
          <w:b/>
          <w:sz w:val="20"/>
          <w:lang w:val="pt-BR"/>
        </w:rPr>
        <w:lastRenderedPageBreak/>
        <w:t xml:space="preserve">La cireş </w:t>
      </w:r>
      <w:r w:rsidR="00013445" w:rsidRPr="00480D78">
        <w:rPr>
          <w:b/>
          <w:sz w:val="20"/>
          <w:lang w:val="pt-BR"/>
        </w:rPr>
        <w:t>și</w:t>
      </w:r>
      <w:r w:rsidRPr="00480D78">
        <w:rPr>
          <w:b/>
          <w:sz w:val="20"/>
          <w:lang w:val="pt-BR"/>
        </w:rPr>
        <w:t xml:space="preserve"> vişin</w:t>
      </w:r>
    </w:p>
    <w:p w:rsidR="007D10F0" w:rsidRPr="005A7D4D" w:rsidRDefault="007D10F0" w:rsidP="007D10F0">
      <w:pPr>
        <w:pStyle w:val="BodyText"/>
        <w:jc w:val="both"/>
        <w:rPr>
          <w:b/>
          <w:bCs/>
          <w:sz w:val="20"/>
          <w:lang w:val="ro-RO"/>
        </w:rPr>
      </w:pPr>
      <w:r w:rsidRPr="00DC0798">
        <w:rPr>
          <w:sz w:val="20"/>
          <w:lang w:val="ro-RO"/>
        </w:rPr>
        <w:tab/>
      </w:r>
      <w:r w:rsidR="00B718DE" w:rsidRPr="00DC0798">
        <w:rPr>
          <w:b/>
          <w:sz w:val="20"/>
          <w:lang w:val="ro-RO"/>
        </w:rPr>
        <w:t>Tratamentul I</w:t>
      </w:r>
      <w:r w:rsidR="005A7D4D">
        <w:rPr>
          <w:b/>
          <w:sz w:val="20"/>
          <w:lang w:val="ro-RO"/>
        </w:rPr>
        <w:t>II</w:t>
      </w:r>
      <w:r w:rsidR="006E3AB9">
        <w:rPr>
          <w:sz w:val="20"/>
          <w:lang w:val="ro-RO"/>
        </w:rPr>
        <w:t xml:space="preserve">– în faza de </w:t>
      </w:r>
      <w:r w:rsidRPr="00DC0798">
        <w:rPr>
          <w:b/>
          <w:sz w:val="20"/>
          <w:lang w:val="ro-RO"/>
        </w:rPr>
        <w:t>scutur</w:t>
      </w:r>
      <w:r w:rsidR="000838D5">
        <w:rPr>
          <w:b/>
          <w:sz w:val="20"/>
          <w:lang w:val="ro-RO"/>
        </w:rPr>
        <w:t>area</w:t>
      </w:r>
      <w:r w:rsidRPr="00DC0798">
        <w:rPr>
          <w:b/>
          <w:sz w:val="20"/>
          <w:lang w:val="ro-RO"/>
        </w:rPr>
        <w:t xml:space="preserve"> petalelor (</w:t>
      </w:r>
      <w:r w:rsidRPr="00DC0798">
        <w:rPr>
          <w:sz w:val="20"/>
          <w:lang w:val="ro-RO"/>
        </w:rPr>
        <w:t xml:space="preserve">peste </w:t>
      </w:r>
      <w:r w:rsidR="005A7D4D">
        <w:rPr>
          <w:sz w:val="20"/>
          <w:lang w:val="ro-RO"/>
        </w:rPr>
        <w:t>75</w:t>
      </w:r>
      <w:r w:rsidRPr="00DC0798">
        <w:rPr>
          <w:sz w:val="20"/>
          <w:lang w:val="ro-RO"/>
        </w:rPr>
        <w:t>% petale scuturate) contra moniliozei,antracnozei, ciuruirii frunzelor, bacteriozelor + insecte defoliatoare, minatoare,afide etc., în special soiurilor sensibile la monilioza flo</w:t>
      </w:r>
      <w:r w:rsidR="000467D7">
        <w:rPr>
          <w:sz w:val="20"/>
          <w:lang w:val="ro-RO"/>
        </w:rPr>
        <w:t>rilor şi lăstarilor, recomandăm</w:t>
      </w:r>
      <w:r w:rsidRPr="00DC0798">
        <w:rPr>
          <w:sz w:val="20"/>
          <w:lang w:val="ro-RO"/>
        </w:rPr>
        <w:t xml:space="preserve">: </w:t>
      </w:r>
      <w:r w:rsidRPr="000467D7">
        <w:rPr>
          <w:b/>
          <w:sz w:val="20"/>
          <w:lang w:val="ro-RO"/>
        </w:rPr>
        <w:t xml:space="preserve">FOLICUR SOLO 250 EW </w:t>
      </w:r>
      <w:r w:rsidRPr="00F27E72">
        <w:rPr>
          <w:b/>
          <w:color w:val="000000"/>
          <w:sz w:val="20"/>
          <w:lang w:val="ro-RO"/>
        </w:rPr>
        <w:t>(VALOR 250 EW)</w:t>
      </w:r>
      <w:r w:rsidRPr="00DC0798">
        <w:rPr>
          <w:sz w:val="20"/>
          <w:lang w:val="ro-RO"/>
        </w:rPr>
        <w:t xml:space="preserve"> – </w:t>
      </w:r>
      <w:r w:rsidRPr="005A7D4D">
        <w:rPr>
          <w:b/>
          <w:bCs/>
          <w:sz w:val="20"/>
          <w:lang w:val="ro-RO"/>
        </w:rPr>
        <w:t>0,75 l/ha</w:t>
      </w:r>
      <w:r w:rsidRPr="00DC0798">
        <w:rPr>
          <w:sz w:val="20"/>
          <w:lang w:val="ro-RO"/>
        </w:rPr>
        <w:t xml:space="preserve"> sau </w:t>
      </w:r>
      <w:r w:rsidRPr="000467D7">
        <w:rPr>
          <w:b/>
          <w:caps/>
          <w:sz w:val="20"/>
          <w:lang w:val="ro-RO"/>
        </w:rPr>
        <w:t>score 250 ec</w:t>
      </w:r>
      <w:r w:rsidRPr="00F27E72">
        <w:rPr>
          <w:b/>
          <w:color w:val="000000"/>
          <w:sz w:val="20"/>
          <w:lang w:val="ro-RO"/>
        </w:rPr>
        <w:t xml:space="preserve"> (MAVITA 250 EC)</w:t>
      </w:r>
      <w:r w:rsidRPr="00DC0798">
        <w:rPr>
          <w:sz w:val="20"/>
          <w:lang w:val="ro-RO"/>
        </w:rPr>
        <w:t xml:space="preserve">  – </w:t>
      </w:r>
      <w:r w:rsidRPr="005A7D4D">
        <w:rPr>
          <w:b/>
          <w:bCs/>
          <w:sz w:val="20"/>
          <w:lang w:val="ro-RO"/>
        </w:rPr>
        <w:t>0,2 l/ha</w:t>
      </w:r>
      <w:r w:rsidRPr="00DC0798">
        <w:rPr>
          <w:sz w:val="20"/>
          <w:lang w:val="ro-RO"/>
        </w:rPr>
        <w:t xml:space="preserve"> sau </w:t>
      </w:r>
      <w:r w:rsidRPr="000467D7">
        <w:rPr>
          <w:b/>
          <w:sz w:val="20"/>
          <w:lang w:val="ro-RO"/>
        </w:rPr>
        <w:t>ORIUS 25 EW (</w:t>
      </w:r>
      <w:r w:rsidRPr="00F27E72">
        <w:rPr>
          <w:b/>
          <w:sz w:val="20"/>
          <w:lang w:val="ro-RO"/>
        </w:rPr>
        <w:t>SALVATOR 25 EW)</w:t>
      </w:r>
      <w:r w:rsidRPr="00DC0798">
        <w:rPr>
          <w:sz w:val="20"/>
          <w:lang w:val="ro-RO"/>
        </w:rPr>
        <w:t xml:space="preserve"> – </w:t>
      </w:r>
      <w:r w:rsidRPr="005A7D4D">
        <w:rPr>
          <w:b/>
          <w:bCs/>
          <w:sz w:val="20"/>
          <w:lang w:val="ro-RO"/>
        </w:rPr>
        <w:t>0,075-0,1%</w:t>
      </w:r>
      <w:r w:rsidRPr="00DC0798">
        <w:rPr>
          <w:sz w:val="20"/>
          <w:lang w:val="ro-RO"/>
        </w:rPr>
        <w:t xml:space="preserve">+ </w:t>
      </w:r>
      <w:r w:rsidR="00DC0798" w:rsidRPr="000467D7">
        <w:rPr>
          <w:b/>
          <w:sz w:val="20"/>
          <w:lang w:val="ro-RO"/>
        </w:rPr>
        <w:t>MAVRIC 2 F</w:t>
      </w:r>
      <w:r w:rsidR="00DC0798" w:rsidRPr="00F27E72">
        <w:rPr>
          <w:b/>
          <w:color w:val="000000"/>
          <w:sz w:val="20"/>
          <w:lang w:val="ro-RO"/>
        </w:rPr>
        <w:t xml:space="preserve">  (EVURE )</w:t>
      </w:r>
      <w:r w:rsidR="00DC0798" w:rsidRPr="00DC0798">
        <w:rPr>
          <w:sz w:val="20"/>
          <w:lang w:val="ro-RO"/>
        </w:rPr>
        <w:t xml:space="preserve"> – </w:t>
      </w:r>
      <w:r w:rsidR="00DC0798" w:rsidRPr="005A7D4D">
        <w:rPr>
          <w:b/>
          <w:bCs/>
          <w:sz w:val="20"/>
          <w:lang w:val="ro-RO"/>
        </w:rPr>
        <w:t>0,05%</w:t>
      </w:r>
    </w:p>
    <w:p w:rsidR="006550FD" w:rsidRPr="00480D78" w:rsidRDefault="007D10F0" w:rsidP="006550FD">
      <w:pPr>
        <w:pStyle w:val="BodyText"/>
        <w:numPr>
          <w:ilvl w:val="0"/>
          <w:numId w:val="1"/>
        </w:numPr>
        <w:jc w:val="both"/>
        <w:rPr>
          <w:sz w:val="20"/>
          <w:lang w:val="ro-RO"/>
        </w:rPr>
      </w:pPr>
      <w:r w:rsidRPr="00480D78">
        <w:rPr>
          <w:b/>
          <w:sz w:val="20"/>
          <w:lang w:val="ro-RO"/>
        </w:rPr>
        <w:t>La prun</w:t>
      </w:r>
    </w:p>
    <w:p w:rsidR="006550FD" w:rsidRPr="004234F8" w:rsidRDefault="006550FD" w:rsidP="006550FD">
      <w:pPr>
        <w:pStyle w:val="BodyText"/>
        <w:ind w:left="720"/>
        <w:jc w:val="both"/>
        <w:rPr>
          <w:sz w:val="20"/>
          <w:lang w:val="ro-RO"/>
        </w:rPr>
      </w:pPr>
      <w:r w:rsidRPr="004234F8">
        <w:rPr>
          <w:b/>
          <w:sz w:val="20"/>
          <w:lang w:val="ro-RO"/>
        </w:rPr>
        <w:t>T</w:t>
      </w:r>
      <w:r w:rsidR="00DC0798" w:rsidRPr="004234F8">
        <w:rPr>
          <w:b/>
          <w:sz w:val="20"/>
          <w:lang w:val="ro-RO"/>
        </w:rPr>
        <w:t>ratamentul III</w:t>
      </w:r>
      <w:r w:rsidR="007D10F0" w:rsidRPr="004234F8">
        <w:rPr>
          <w:sz w:val="20"/>
          <w:lang w:val="ro-RO"/>
        </w:rPr>
        <w:t xml:space="preserve">se va aplica în faza </w:t>
      </w:r>
      <w:r w:rsidR="007D10F0" w:rsidRPr="004234F8">
        <w:rPr>
          <w:b/>
          <w:sz w:val="20"/>
          <w:lang w:val="ro-RO"/>
        </w:rPr>
        <w:t>căderii petalelor</w:t>
      </w:r>
      <w:r w:rsidR="0048652A">
        <w:rPr>
          <w:b/>
          <w:sz w:val="20"/>
          <w:lang w:val="ro-RO"/>
        </w:rPr>
        <w:t xml:space="preserve"> (75 – 80%</w:t>
      </w:r>
      <w:r w:rsidR="00480D78">
        <w:rPr>
          <w:b/>
          <w:sz w:val="20"/>
          <w:lang w:val="ro-RO"/>
        </w:rPr>
        <w:t xml:space="preserve"> </w:t>
      </w:r>
      <w:r w:rsidR="0048652A">
        <w:rPr>
          <w:sz w:val="20"/>
          <w:lang w:val="ro-RO"/>
        </w:rPr>
        <w:t xml:space="preserve">petale scuturate) </w:t>
      </w:r>
      <w:r w:rsidR="007D10F0" w:rsidRPr="004234F8">
        <w:rPr>
          <w:sz w:val="20"/>
          <w:lang w:val="ro-RO"/>
        </w:rPr>
        <w:t>pentru combaterea:  viespei</w:t>
      </w:r>
      <w:r w:rsidR="00480D78">
        <w:rPr>
          <w:sz w:val="20"/>
          <w:lang w:val="ro-RO"/>
        </w:rPr>
        <w:t xml:space="preserve"> </w:t>
      </w:r>
      <w:r w:rsidR="007D10F0" w:rsidRPr="004234F8">
        <w:rPr>
          <w:sz w:val="20"/>
          <w:lang w:val="ro-RO"/>
        </w:rPr>
        <w:t>seminţelor</w:t>
      </w:r>
      <w:r w:rsidR="0048652A">
        <w:rPr>
          <w:sz w:val="20"/>
          <w:lang w:val="ro-RO"/>
        </w:rPr>
        <w:t xml:space="preserve"> de prun</w:t>
      </w:r>
      <w:r w:rsidR="007D10F0" w:rsidRPr="004234F8">
        <w:rPr>
          <w:sz w:val="20"/>
          <w:lang w:val="ro-RO"/>
        </w:rPr>
        <w:t>, defoliatori, afide + moniliozei, pătării roşii a frunze</w:t>
      </w:r>
      <w:r w:rsidR="00B718DE" w:rsidRPr="004234F8">
        <w:rPr>
          <w:sz w:val="20"/>
          <w:lang w:val="ro-RO"/>
        </w:rPr>
        <w:t xml:space="preserve">lor, ciuruirii etc.  </w:t>
      </w:r>
    </w:p>
    <w:p w:rsidR="00B718DE" w:rsidRPr="004234F8" w:rsidRDefault="00B718DE" w:rsidP="006550FD">
      <w:pPr>
        <w:pStyle w:val="BodyText"/>
        <w:ind w:left="720"/>
        <w:jc w:val="both"/>
        <w:rPr>
          <w:sz w:val="20"/>
          <w:lang w:val="ro-RO"/>
        </w:rPr>
      </w:pPr>
      <w:r w:rsidRPr="004234F8">
        <w:rPr>
          <w:sz w:val="20"/>
          <w:lang w:val="ro-RO"/>
        </w:rPr>
        <w:t>Pentru tratament recomandăm:</w:t>
      </w:r>
    </w:p>
    <w:p w:rsidR="00B718DE" w:rsidRPr="004234F8" w:rsidRDefault="00B718DE" w:rsidP="00B718DE">
      <w:pPr>
        <w:pStyle w:val="BodyText"/>
        <w:jc w:val="both"/>
        <w:rPr>
          <w:sz w:val="20"/>
          <w:lang w:val="ro-RO"/>
        </w:rPr>
      </w:pPr>
      <w:r w:rsidRPr="004234F8">
        <w:rPr>
          <w:sz w:val="20"/>
          <w:lang w:val="ro-RO"/>
        </w:rPr>
        <w:t xml:space="preserve">            a) </w:t>
      </w:r>
      <w:r w:rsidR="007D10F0" w:rsidRPr="004234F8">
        <w:rPr>
          <w:b/>
          <w:sz w:val="20"/>
          <w:lang w:val="ro-RO"/>
        </w:rPr>
        <w:t>MAVRIC 2 F</w:t>
      </w:r>
      <w:r w:rsidR="00C13A7D" w:rsidRPr="00F27E72">
        <w:rPr>
          <w:b/>
          <w:color w:val="000000"/>
          <w:sz w:val="20"/>
          <w:lang w:val="pt-BR"/>
        </w:rPr>
        <w:t xml:space="preserve">  (EVURE</w:t>
      </w:r>
      <w:r w:rsidR="00C13A7D" w:rsidRPr="00F27E72">
        <w:rPr>
          <w:color w:val="000000"/>
          <w:sz w:val="20"/>
          <w:lang w:val="pt-BR"/>
        </w:rPr>
        <w:t>)</w:t>
      </w:r>
      <w:r w:rsidR="007D10F0" w:rsidRPr="004234F8">
        <w:rPr>
          <w:sz w:val="20"/>
          <w:lang w:val="ro-RO"/>
        </w:rPr>
        <w:t xml:space="preserve"> – </w:t>
      </w:r>
      <w:r w:rsidR="007D10F0" w:rsidRPr="005A7D4D">
        <w:rPr>
          <w:b/>
          <w:bCs/>
          <w:sz w:val="20"/>
          <w:lang w:val="ro-RO"/>
        </w:rPr>
        <w:t>0,05%</w:t>
      </w:r>
      <w:r w:rsidR="002A6EF3" w:rsidRPr="004234F8">
        <w:rPr>
          <w:sz w:val="20"/>
          <w:lang w:val="ro-RO"/>
        </w:rPr>
        <w:t xml:space="preserve">+ </w:t>
      </w:r>
      <w:r w:rsidR="002A6EF3" w:rsidRPr="004234F8">
        <w:rPr>
          <w:b/>
          <w:sz w:val="20"/>
          <w:lang w:val="ro-RO"/>
        </w:rPr>
        <w:t xml:space="preserve">LUNA </w:t>
      </w:r>
      <w:r w:rsidR="007D10F0" w:rsidRPr="004234F8">
        <w:rPr>
          <w:b/>
          <w:sz w:val="20"/>
          <w:lang w:val="ro-RO"/>
        </w:rPr>
        <w:t>EXPERIENCE 400 SC</w:t>
      </w:r>
      <w:r w:rsidR="007D10F0" w:rsidRPr="004234F8">
        <w:rPr>
          <w:sz w:val="20"/>
          <w:lang w:val="ro-RO"/>
        </w:rPr>
        <w:t xml:space="preserve"> – </w:t>
      </w:r>
      <w:r w:rsidR="007D10F0" w:rsidRPr="005A7D4D">
        <w:rPr>
          <w:b/>
          <w:bCs/>
          <w:sz w:val="20"/>
          <w:lang w:val="ro-RO"/>
        </w:rPr>
        <w:t>0,5 l/ha</w:t>
      </w:r>
      <w:r w:rsidR="00480D78">
        <w:rPr>
          <w:b/>
          <w:bCs/>
          <w:sz w:val="20"/>
          <w:lang w:val="ro-RO"/>
        </w:rPr>
        <w:t xml:space="preserve"> </w:t>
      </w:r>
      <w:r w:rsidR="007D10F0" w:rsidRPr="005A7D4D">
        <w:rPr>
          <w:b/>
          <w:bCs/>
          <w:sz w:val="20"/>
          <w:lang w:val="ro-RO"/>
        </w:rPr>
        <w:t>(0,05%)</w:t>
      </w:r>
      <w:r w:rsidR="007D10F0" w:rsidRPr="004234F8">
        <w:rPr>
          <w:sz w:val="20"/>
          <w:lang w:val="ro-RO"/>
        </w:rPr>
        <w:t xml:space="preserve"> sau</w:t>
      </w:r>
    </w:p>
    <w:p w:rsidR="000838D5" w:rsidRPr="00480D78" w:rsidRDefault="00B718DE" w:rsidP="00480D78">
      <w:pPr>
        <w:pStyle w:val="BodyText"/>
        <w:jc w:val="both"/>
        <w:rPr>
          <w:b/>
          <w:sz w:val="20"/>
          <w:lang w:val="it-IT"/>
        </w:rPr>
      </w:pPr>
      <w:r w:rsidRPr="004234F8">
        <w:rPr>
          <w:sz w:val="20"/>
          <w:lang w:val="ro-RO"/>
        </w:rPr>
        <w:t xml:space="preserve">b) </w:t>
      </w:r>
      <w:r w:rsidR="00183F95" w:rsidRPr="004234F8">
        <w:rPr>
          <w:b/>
          <w:sz w:val="20"/>
          <w:lang w:val="ro-RO"/>
        </w:rPr>
        <w:t>MAVRIC 2 F</w:t>
      </w:r>
      <w:r w:rsidR="00183F95" w:rsidRPr="004234F8">
        <w:rPr>
          <w:b/>
          <w:color w:val="000000"/>
          <w:sz w:val="20"/>
        </w:rPr>
        <w:t> (EVURE</w:t>
      </w:r>
      <w:r w:rsidR="00183F95" w:rsidRPr="004234F8">
        <w:rPr>
          <w:color w:val="000000"/>
          <w:sz w:val="20"/>
        </w:rPr>
        <w:t>)</w:t>
      </w:r>
      <w:r w:rsidR="00183F95" w:rsidRPr="004234F8">
        <w:rPr>
          <w:sz w:val="20"/>
          <w:lang w:val="ro-RO"/>
        </w:rPr>
        <w:t xml:space="preserve"> – </w:t>
      </w:r>
      <w:r w:rsidR="00183F95" w:rsidRPr="005A7D4D">
        <w:rPr>
          <w:b/>
          <w:bCs/>
          <w:sz w:val="20"/>
          <w:lang w:val="ro-RO"/>
        </w:rPr>
        <w:t>0,05%</w:t>
      </w:r>
      <w:r w:rsidRPr="004234F8">
        <w:rPr>
          <w:sz w:val="20"/>
          <w:lang w:val="ro-RO"/>
        </w:rPr>
        <w:t>+</w:t>
      </w:r>
      <w:r w:rsidR="00DD5099" w:rsidRPr="004234F8">
        <w:rPr>
          <w:b/>
          <w:sz w:val="20"/>
          <w:lang w:val="ro-RO"/>
        </w:rPr>
        <w:t xml:space="preserve">SIGNUM </w:t>
      </w:r>
      <w:r w:rsidR="00DD5099" w:rsidRPr="004234F8">
        <w:rPr>
          <w:b/>
          <w:color w:val="000000"/>
          <w:sz w:val="20"/>
        </w:rPr>
        <w:t>(SYREX STAR)</w:t>
      </w:r>
      <w:r w:rsidR="00480D78">
        <w:rPr>
          <w:b/>
          <w:color w:val="000000"/>
          <w:sz w:val="20"/>
        </w:rPr>
        <w:t xml:space="preserve"> </w:t>
      </w:r>
      <w:r w:rsidR="00DD5099" w:rsidRPr="004234F8">
        <w:rPr>
          <w:sz w:val="20"/>
          <w:lang w:val="ro-RO"/>
        </w:rPr>
        <w:t>–</w:t>
      </w:r>
      <w:r w:rsidR="00DD5099" w:rsidRPr="005A7D4D">
        <w:rPr>
          <w:b/>
          <w:bCs/>
          <w:color w:val="000000"/>
          <w:sz w:val="20"/>
          <w:lang w:val="en-US"/>
        </w:rPr>
        <w:t>0,5 kg/ha</w:t>
      </w:r>
      <w:r w:rsidR="004234F8">
        <w:rPr>
          <w:color w:val="000000"/>
          <w:sz w:val="20"/>
          <w:lang w:val="en-US"/>
        </w:rPr>
        <w:t>.</w:t>
      </w:r>
    </w:p>
    <w:p w:rsidR="0075509D" w:rsidRPr="00DC0798" w:rsidRDefault="007D10F0" w:rsidP="00862937">
      <w:pPr>
        <w:ind w:firstLine="720"/>
        <w:jc w:val="both"/>
        <w:rPr>
          <w:lang w:val="ro-RO"/>
        </w:rPr>
      </w:pPr>
      <w:r w:rsidRPr="00DC0798">
        <w:rPr>
          <w:b/>
          <w:lang w:val="it-IT"/>
        </w:rPr>
        <w:lastRenderedPageBreak/>
        <w:t>ATENTIE!</w:t>
      </w:r>
    </w:p>
    <w:p w:rsidR="0075509D" w:rsidRDefault="0075509D" w:rsidP="0075509D">
      <w:pPr>
        <w:ind w:firstLine="720"/>
        <w:jc w:val="both"/>
        <w:rPr>
          <w:lang w:val="ro-RO"/>
        </w:rPr>
      </w:pPr>
      <w:r w:rsidRPr="00DC0798">
        <w:rPr>
          <w:lang w:val="ro-RO"/>
        </w:rPr>
        <w:t>Pentru tratamentele recomandate se pot folosi şi alte produse omologate cu efect similar.</w:t>
      </w:r>
    </w:p>
    <w:p w:rsidR="007D10F0" w:rsidRPr="00DC0798" w:rsidRDefault="0075509D" w:rsidP="0075509D">
      <w:pPr>
        <w:ind w:firstLine="720"/>
        <w:jc w:val="both"/>
        <w:rPr>
          <w:b/>
          <w:lang w:val="it-IT"/>
        </w:rPr>
      </w:pPr>
      <w:r w:rsidRPr="00DC0798">
        <w:rPr>
          <w:lang w:val="ro-RO"/>
        </w:rPr>
        <w:t>Norma de soluţie  pentru prun, cais,piersic este de  1000 litri soluţie /ha  iar la,cireş,vişin, este de 1500 litri soluţie /ha.</w:t>
      </w:r>
    </w:p>
    <w:p w:rsidR="007D10F0" w:rsidRPr="00DC0798" w:rsidRDefault="00480D78" w:rsidP="0075509D">
      <w:pPr>
        <w:pStyle w:val="Heading2"/>
        <w:rPr>
          <w:i w:val="0"/>
          <w:sz w:val="20"/>
          <w:lang w:val="ro-RO"/>
        </w:rPr>
      </w:pPr>
      <w:r>
        <w:rPr>
          <w:i w:val="0"/>
          <w:sz w:val="20"/>
          <w:lang w:val="ro-RO"/>
        </w:rPr>
        <w:t>Î</w:t>
      </w:r>
      <w:r w:rsidR="007D10F0" w:rsidRPr="00DC0798">
        <w:rPr>
          <w:i w:val="0"/>
          <w:sz w:val="20"/>
          <w:lang w:val="ro-RO"/>
        </w:rPr>
        <w:t xml:space="preserve">n cazul aplicării tratamentelor complexate se efectuează în prealabil testul de compatibilitate. </w:t>
      </w:r>
    </w:p>
    <w:p w:rsidR="007D10F0" w:rsidRPr="00DC0798" w:rsidRDefault="007D10F0" w:rsidP="007D10F0">
      <w:pPr>
        <w:jc w:val="both"/>
        <w:rPr>
          <w:lang w:val="ro-RO"/>
        </w:rPr>
      </w:pPr>
      <w:r w:rsidRPr="00DC0798">
        <w:rPr>
          <w:lang w:val="pt-BR"/>
        </w:rPr>
        <w:t xml:space="preserve">  Se vor respecta cu stricteţe indica</w:t>
      </w:r>
      <w:r w:rsidRPr="00F27E72">
        <w:rPr>
          <w:lang w:val="pt-BR"/>
        </w:rPr>
        <w:t>ţi</w:t>
      </w:r>
      <w:r w:rsidRPr="00DC0798">
        <w:rPr>
          <w:lang w:val="pt-BR"/>
        </w:rPr>
        <w:t>ile trecute în prospectul fiecărui produs folosit.</w:t>
      </w:r>
    </w:p>
    <w:p w:rsidR="007D10F0" w:rsidRPr="00DC0798" w:rsidRDefault="007D10F0" w:rsidP="002603FF">
      <w:pPr>
        <w:ind w:firstLine="720"/>
        <w:jc w:val="both"/>
        <w:rPr>
          <w:lang w:val="ro-RO"/>
        </w:rPr>
      </w:pPr>
      <w:r w:rsidRPr="00DC0798">
        <w:rPr>
          <w:lang w:val="ro-RO"/>
        </w:rPr>
        <w:t>Tratamentele se vor executa pe timp liniştit</w:t>
      </w:r>
      <w:r w:rsidRPr="00DC0798">
        <w:rPr>
          <w:b/>
          <w:lang w:val="ro-RO"/>
        </w:rPr>
        <w:t xml:space="preserve">,   </w:t>
      </w:r>
      <w:r w:rsidRPr="00DC0798">
        <w:rPr>
          <w:bCs/>
          <w:lang w:val="ro-RO"/>
        </w:rPr>
        <w:t>fără vânt.</w:t>
      </w:r>
      <w:r w:rsidRPr="00DC0798">
        <w:rPr>
          <w:lang w:val="ro-RO"/>
        </w:rPr>
        <w:t xml:space="preserve">   </w:t>
      </w:r>
    </w:p>
    <w:p w:rsidR="007D10F0" w:rsidRDefault="007D10F0" w:rsidP="007D10F0">
      <w:pPr>
        <w:rPr>
          <w:b/>
          <w:lang w:val="it-IT"/>
        </w:rPr>
      </w:pPr>
      <w:r w:rsidRPr="00DC0798">
        <w:rPr>
          <w:bCs/>
          <w:lang w:val="it-IT"/>
        </w:rPr>
        <w:tab/>
      </w:r>
      <w:r w:rsidRPr="00DC0798">
        <w:rPr>
          <w:b/>
          <w:bCs/>
          <w:lang w:val="it-IT"/>
        </w:rPr>
        <w:t xml:space="preserve">Folositi NUMAI produsele  care prezinta selectivitate pentru entomofauna utila </w:t>
      </w:r>
      <w:r w:rsidR="00480D78">
        <w:rPr>
          <w:b/>
          <w:bCs/>
          <w:lang w:val="it-IT"/>
        </w:rPr>
        <w:t>î</w:t>
      </w:r>
      <w:r w:rsidRPr="00DC0798">
        <w:rPr>
          <w:b/>
          <w:bCs/>
          <w:lang w:val="it-IT"/>
        </w:rPr>
        <w:t>n perioada de inflorire a pomilor</w:t>
      </w:r>
      <w:r w:rsidRPr="00DC0798">
        <w:rPr>
          <w:b/>
          <w:lang w:val="it-IT"/>
        </w:rPr>
        <w:t xml:space="preserve"> şi se vor  avertiza  apicultorii din zona </w:t>
      </w:r>
      <w:r w:rsidRPr="00DC0798">
        <w:rPr>
          <w:b/>
          <w:lang w:val="ro-RO"/>
        </w:rPr>
        <w:t xml:space="preserve">în care </w:t>
      </w:r>
      <w:r w:rsidRPr="00DC0798">
        <w:rPr>
          <w:b/>
          <w:lang w:val="it-IT"/>
        </w:rPr>
        <w:t xml:space="preserve">  urmează a fi tratate suprafe</w:t>
      </w:r>
      <w:r w:rsidR="00480D78">
        <w:rPr>
          <w:b/>
          <w:lang w:val="it-IT"/>
        </w:rPr>
        <w:t>ţ</w:t>
      </w:r>
      <w:r w:rsidRPr="00DC0798">
        <w:rPr>
          <w:b/>
          <w:lang w:val="it-IT"/>
        </w:rPr>
        <w:t>ele</w:t>
      </w:r>
      <w:r w:rsidR="002603FF">
        <w:rPr>
          <w:b/>
          <w:lang w:val="it-IT"/>
        </w:rPr>
        <w:t>!</w:t>
      </w:r>
    </w:p>
    <w:p w:rsidR="0050153D" w:rsidRPr="00F27E72" w:rsidRDefault="0050153D" w:rsidP="0050153D">
      <w:pPr>
        <w:ind w:firstLine="709"/>
        <w:rPr>
          <w:lang w:val="pt-BR"/>
        </w:rPr>
      </w:pPr>
      <w:r w:rsidRPr="00F27E72">
        <w:rPr>
          <w:lang w:val="pt-BR"/>
        </w:rPr>
        <w:t xml:space="preserve">Se va ține cont de momentul optim de aplicare al tratamentelor pentru fiecare agent de dăunare. </w:t>
      </w:r>
    </w:p>
    <w:p w:rsidR="0050153D" w:rsidRPr="00F27E72" w:rsidRDefault="0050153D" w:rsidP="0050153D">
      <w:pPr>
        <w:ind w:firstLine="709"/>
        <w:rPr>
          <w:lang w:val="pt-BR"/>
        </w:rPr>
      </w:pPr>
      <w:r w:rsidRPr="00F27E72">
        <w:rPr>
          <w:lang w:val="pt-BR"/>
        </w:rPr>
        <w:t xml:space="preserve">Respectați normele de lucru cu </w:t>
      </w:r>
      <w:r w:rsidR="002603FF">
        <w:rPr>
          <w:lang w:val="pt-BR"/>
        </w:rPr>
        <w:t>ppp</w:t>
      </w:r>
      <w:r w:rsidRPr="00F27E72">
        <w:rPr>
          <w:lang w:val="pt-BR"/>
        </w:rPr>
        <w:t xml:space="preserve">, norme de protecție si securitate a muncii, de proteție a albinelor și a animalelor in conformitate cu Legea nr. 383/2013 a apiculturii, cu modificările și complectările ulterioare și Ordinul nr. 127/1991 al ACA din România, ordinul comun nr. 45/1991 al MAA, 15b/ 3403/ 1991 al Departamentului pentru Administrație Locală si 1786/ TB/ 1991 al Ministerului Transporturilor, precum  și cu Protocolul de colaborare nr. 328432 /2015, încheiat cu ROMPIS (privind implementarea legislației, în vederea protecției familiilor de albine, împotriva intoxicațiilor cu </w:t>
      </w:r>
      <w:r w:rsidR="002603FF">
        <w:rPr>
          <w:lang w:val="pt-BR"/>
        </w:rPr>
        <w:t>ppp</w:t>
      </w:r>
      <w:r w:rsidRPr="00F27E72">
        <w:rPr>
          <w:lang w:val="pt-BR"/>
        </w:rPr>
        <w:t>).</w:t>
      </w:r>
    </w:p>
    <w:p w:rsidR="0050153D" w:rsidRPr="00F27E72" w:rsidRDefault="0050153D" w:rsidP="0050153D">
      <w:pPr>
        <w:ind w:firstLine="709"/>
        <w:rPr>
          <w:lang w:val="pt-BR"/>
        </w:rPr>
      </w:pPr>
      <w:r w:rsidRPr="00F27E72">
        <w:rPr>
          <w:lang w:val="pt-BR"/>
        </w:rPr>
        <w:t>Respectați prevederile Ord</w:t>
      </w:r>
      <w:r w:rsidR="002603FF">
        <w:rPr>
          <w:lang w:val="pt-BR"/>
        </w:rPr>
        <w:t>/</w:t>
      </w:r>
      <w:r w:rsidRPr="00F27E72">
        <w:rPr>
          <w:lang w:val="pt-BR"/>
        </w:rPr>
        <w:t xml:space="preserve"> MADR nr.297/2017 privind aprobarea Codului de bune practici pentru utilizarea în siguranță a </w:t>
      </w:r>
      <w:r w:rsidR="002603FF">
        <w:rPr>
          <w:lang w:val="pt-BR"/>
        </w:rPr>
        <w:t>ppp.</w:t>
      </w:r>
    </w:p>
    <w:p w:rsidR="0050153D" w:rsidRPr="00F27E72" w:rsidRDefault="0050153D" w:rsidP="0050153D">
      <w:pPr>
        <w:ind w:firstLine="709"/>
        <w:rPr>
          <w:lang w:val="pt-BR"/>
        </w:rPr>
      </w:pPr>
      <w:r w:rsidRPr="00F27E72">
        <w:rPr>
          <w:lang w:val="pt-BR"/>
        </w:rPr>
        <w:t>Respectați obligațiile ce vă revin conform Ordinului MADR, al ministrului mediului, apelor și pădurilor și al președintelui ANSVSA  nr. 352/636/54/2015 pentru aprobarea normelor privind ecocondiționalitatea în cadrul schemelor și măsurilor de sprijin pentru fermieri in România, cu modificârile ulterioare. Citiți și respectați instrucțiunile și informațiile înscrise pe etichet</w:t>
      </w:r>
      <w:r w:rsidR="002603FF">
        <w:rPr>
          <w:lang w:val="pt-BR"/>
        </w:rPr>
        <w:t>ă</w:t>
      </w:r>
      <w:r w:rsidRPr="00F27E72">
        <w:rPr>
          <w:lang w:val="pt-BR"/>
        </w:rPr>
        <w:t xml:space="preserve">. </w:t>
      </w:r>
    </w:p>
    <w:p w:rsidR="0050153D" w:rsidRPr="00F27E72" w:rsidRDefault="0050153D" w:rsidP="0050153D">
      <w:pPr>
        <w:ind w:firstLine="709"/>
        <w:rPr>
          <w:lang w:val="pt-BR"/>
        </w:rPr>
      </w:pPr>
      <w:r w:rsidRPr="00F27E72">
        <w:rPr>
          <w:lang w:val="pt-BR"/>
        </w:rPr>
        <w:t xml:space="preserve">Respectați normele cuprinse în Ghidul pentru utilizarea în siguranță a ppp în exploatațiile agricole care poate fi accesat la adresa http://www.madr.ro/norme-de-eco-conditionalitate – </w:t>
      </w:r>
      <w:r w:rsidR="00480D78">
        <w:rPr>
          <w:lang w:val="pt-BR"/>
        </w:rPr>
        <w:t>î</w:t>
      </w:r>
      <w:r w:rsidRPr="00F27E72">
        <w:rPr>
          <w:lang w:val="pt-BR"/>
        </w:rPr>
        <w:t xml:space="preserve">n – domeniul fitosanitar.html) Pentru agenții de dăunare avertizați, se vor utiliza doar produse de protecția plantelor (ppp) omologate de Comisia Națională de Omologare a Produselor de Protecția Plantelor, care sunt înregistrate în baza de date PEST – EXPERT, care poate fi accesata la adresa :  </w:t>
      </w:r>
      <w:hyperlink r:id="rId14" w:history="1">
        <w:r w:rsidRPr="00F27E72">
          <w:rPr>
            <w:rStyle w:val="Hyperlink"/>
            <w:lang w:val="pt-BR"/>
          </w:rPr>
          <w:t>http://www.madr.ro</w:t>
        </w:r>
      </w:hyperlink>
      <w:r w:rsidRPr="00F27E72">
        <w:rPr>
          <w:lang w:val="pt-BR"/>
        </w:rPr>
        <w:t xml:space="preserve">  la sectiunea Fitosanitar – adresa web: </w:t>
      </w:r>
      <w:hyperlink r:id="rId15" w:history="1">
        <w:r w:rsidRPr="00F27E72">
          <w:rPr>
            <w:rStyle w:val="Hyperlink"/>
            <w:lang w:val="pt-BR"/>
          </w:rPr>
          <w:t>https://aloe.anfdf.ro</w:t>
        </w:r>
      </w:hyperlink>
      <w:r w:rsidRPr="00F27E72">
        <w:rPr>
          <w:lang w:val="pt-BR"/>
        </w:rPr>
        <w:t xml:space="preserve">  utilizator și parola – guest. </w:t>
      </w:r>
    </w:p>
    <w:p w:rsidR="002603FF" w:rsidRDefault="0050153D" w:rsidP="002603FF">
      <w:pPr>
        <w:ind w:firstLine="709"/>
        <w:rPr>
          <w:lang w:val="pt-BR"/>
        </w:rPr>
      </w:pPr>
      <w:r w:rsidRPr="00F27E72">
        <w:rPr>
          <w:lang w:val="pt-BR"/>
        </w:rPr>
        <w:t xml:space="preserve">Conform Reg. (CE) Nr. 1107/2009 al Parlamentului European și al Consiliului din 21.10.2009, privind introducerea pe piață a produselor fitosanitare, fiecare utilizator a produselor de protecția plantelor trebuie să păstreze cel puțin 3 evidența efectuării fiecarui tratament prin completare într-un registru după modelul de mai jos: </w:t>
      </w:r>
    </w:p>
    <w:p w:rsidR="0062307B" w:rsidRPr="002603FF" w:rsidRDefault="0050153D" w:rsidP="002603FF">
      <w:pPr>
        <w:rPr>
          <w:sz w:val="18"/>
          <w:szCs w:val="18"/>
          <w:lang w:val="pt-BR"/>
        </w:rPr>
      </w:pPr>
      <w:r w:rsidRPr="002603FF">
        <w:rPr>
          <w:sz w:val="18"/>
          <w:szCs w:val="18"/>
          <w:lang w:val="pt-BR"/>
        </w:rPr>
        <w:t xml:space="preserve">Nume și prenume fermier/ societate comercială…..Domiciliu fermier/sediul social al societății……. </w:t>
      </w:r>
      <w:r w:rsidR="002603FF">
        <w:rPr>
          <w:sz w:val="18"/>
          <w:szCs w:val="18"/>
          <w:lang w:val="pt-BR"/>
        </w:rPr>
        <w:t>,</w:t>
      </w:r>
      <w:r w:rsidRPr="002603FF">
        <w:rPr>
          <w:sz w:val="18"/>
          <w:szCs w:val="18"/>
          <w:lang w:val="pt-BR"/>
        </w:rPr>
        <w:t xml:space="preserve">Ferma (nume/nr,adresa)…. </w:t>
      </w:r>
    </w:p>
    <w:p w:rsidR="0050153D" w:rsidRPr="002603FF" w:rsidRDefault="0050153D" w:rsidP="0050153D">
      <w:pPr>
        <w:ind w:firstLine="708"/>
        <w:rPr>
          <w:sz w:val="18"/>
          <w:szCs w:val="18"/>
          <w:lang w:val="pt-BR"/>
        </w:rPr>
      </w:pPr>
      <w:r w:rsidRPr="002603FF">
        <w:rPr>
          <w:sz w:val="18"/>
          <w:szCs w:val="18"/>
          <w:lang w:val="pt-BR"/>
        </w:rPr>
        <w:t>Tratamentele cu produse de protecția plantelor se completează la zi in Registrul de evidență a tratamentelor</w:t>
      </w:r>
    </w:p>
    <w:tbl>
      <w:tblPr>
        <w:tblStyle w:val="TableGrid"/>
        <w:tblW w:w="0" w:type="auto"/>
        <w:jc w:val="center"/>
        <w:tblLayout w:type="fixed"/>
        <w:tblLook w:val="04A0"/>
      </w:tblPr>
      <w:tblGrid>
        <w:gridCol w:w="716"/>
        <w:gridCol w:w="952"/>
        <w:gridCol w:w="708"/>
        <w:gridCol w:w="993"/>
        <w:gridCol w:w="992"/>
        <w:gridCol w:w="850"/>
        <w:gridCol w:w="709"/>
        <w:gridCol w:w="709"/>
        <w:gridCol w:w="850"/>
        <w:gridCol w:w="1134"/>
        <w:gridCol w:w="851"/>
        <w:gridCol w:w="957"/>
      </w:tblGrid>
      <w:tr w:rsidR="0050153D" w:rsidRPr="00572582" w:rsidTr="00426D85">
        <w:trPr>
          <w:trHeight w:val="265"/>
          <w:jc w:val="center"/>
        </w:trPr>
        <w:tc>
          <w:tcPr>
            <w:tcW w:w="716"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Data efectu-</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-ării trata- -ment</w:t>
            </w:r>
          </w:p>
        </w:tc>
        <w:tc>
          <w:tcPr>
            <w:tcW w:w="952"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Cultura și locul unde este situat terenul</w:t>
            </w:r>
          </w:p>
        </w:tc>
        <w:tc>
          <w:tcPr>
            <w:tcW w:w="708"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Tipul aplică-rii</w:t>
            </w:r>
          </w:p>
        </w:tc>
        <w:tc>
          <w:tcPr>
            <w:tcW w:w="5103" w:type="dxa"/>
            <w:gridSpan w:val="6"/>
          </w:tcPr>
          <w:p w:rsidR="0050153D" w:rsidRPr="00572582" w:rsidRDefault="0050153D" w:rsidP="00426D85">
            <w:pPr>
              <w:pStyle w:val="NoSpacing"/>
              <w:jc w:val="center"/>
              <w:rPr>
                <w:rFonts w:ascii="Times New Roman" w:hAnsi="Times New Roman" w:cs="Times New Roman"/>
                <w:sz w:val="16"/>
                <w:szCs w:val="16"/>
              </w:rPr>
            </w:pPr>
            <w:r w:rsidRPr="00572582">
              <w:rPr>
                <w:rFonts w:ascii="Times New Roman" w:hAnsi="Times New Roman" w:cs="Times New Roman"/>
                <w:sz w:val="16"/>
                <w:szCs w:val="16"/>
              </w:rPr>
              <w:t>Tratamentul efectuat</w:t>
            </w:r>
          </w:p>
        </w:tc>
        <w:tc>
          <w:tcPr>
            <w:tcW w:w="1134"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Numele persoanei responsa- bile pentru efectuarea tatamentului. Semnătura</w:t>
            </w:r>
          </w:p>
        </w:tc>
        <w:tc>
          <w:tcPr>
            <w:tcW w:w="851"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Data inceperiirecol- tării produ- sului agricol</w:t>
            </w:r>
          </w:p>
        </w:tc>
        <w:tc>
          <w:tcPr>
            <w:tcW w:w="957"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Nr și data doc prin care s-a dat in consum populației</w:t>
            </w:r>
          </w:p>
        </w:tc>
      </w:tr>
      <w:tr w:rsidR="0050153D" w:rsidRPr="00572582" w:rsidTr="00426D85">
        <w:trPr>
          <w:trHeight w:val="265"/>
          <w:jc w:val="center"/>
        </w:trPr>
        <w:tc>
          <w:tcPr>
            <w:tcW w:w="716" w:type="dxa"/>
            <w:vMerge/>
          </w:tcPr>
          <w:p w:rsidR="0050153D" w:rsidRPr="00572582" w:rsidRDefault="0050153D" w:rsidP="00426D85">
            <w:pPr>
              <w:pStyle w:val="NoSpacing"/>
              <w:rPr>
                <w:rFonts w:ascii="Times New Roman" w:hAnsi="Times New Roman" w:cs="Times New Roman"/>
                <w:sz w:val="16"/>
                <w:szCs w:val="16"/>
              </w:rPr>
            </w:pPr>
          </w:p>
        </w:tc>
        <w:tc>
          <w:tcPr>
            <w:tcW w:w="952" w:type="dxa"/>
            <w:vMerge/>
          </w:tcPr>
          <w:p w:rsidR="0050153D" w:rsidRPr="00572582" w:rsidRDefault="0050153D" w:rsidP="00426D85">
            <w:pPr>
              <w:pStyle w:val="NoSpacing"/>
              <w:rPr>
                <w:rFonts w:ascii="Times New Roman" w:hAnsi="Times New Roman" w:cs="Times New Roman"/>
                <w:sz w:val="16"/>
                <w:szCs w:val="16"/>
              </w:rPr>
            </w:pPr>
          </w:p>
        </w:tc>
        <w:tc>
          <w:tcPr>
            <w:tcW w:w="708" w:type="dxa"/>
            <w:vMerge/>
          </w:tcPr>
          <w:p w:rsidR="0050153D" w:rsidRPr="00572582" w:rsidRDefault="0050153D" w:rsidP="00426D85">
            <w:pPr>
              <w:pStyle w:val="NoSpacing"/>
              <w:rPr>
                <w:rFonts w:ascii="Times New Roman" w:hAnsi="Times New Roman" w:cs="Times New Roman"/>
                <w:sz w:val="16"/>
                <w:szCs w:val="16"/>
              </w:rPr>
            </w:pPr>
          </w:p>
        </w:tc>
        <w:tc>
          <w:tcPr>
            <w:tcW w:w="993"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Agenti de dăunare combătuți</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Boli / dăunători/ buruieni</w:t>
            </w:r>
          </w:p>
        </w:tc>
        <w:tc>
          <w:tcPr>
            <w:tcW w:w="992"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Denumire produs de protecție a plantelor folosit</w:t>
            </w:r>
          </w:p>
        </w:tc>
        <w:tc>
          <w:tcPr>
            <w:tcW w:w="1559" w:type="dxa"/>
            <w:gridSpan w:val="2"/>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 xml:space="preserve">Doza : </w:t>
            </w:r>
          </w:p>
        </w:tc>
        <w:tc>
          <w:tcPr>
            <w:tcW w:w="709"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Supra-</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-fața</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(ha)</w:t>
            </w:r>
          </w:p>
        </w:tc>
        <w:tc>
          <w:tcPr>
            <w:tcW w:w="850" w:type="dxa"/>
            <w:vMerge w:val="restart"/>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Canti-</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-tăți utilizate</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(kg/litri)</w:t>
            </w:r>
          </w:p>
        </w:tc>
        <w:tc>
          <w:tcPr>
            <w:tcW w:w="1134" w:type="dxa"/>
            <w:vMerge/>
          </w:tcPr>
          <w:p w:rsidR="0050153D" w:rsidRPr="00572582" w:rsidRDefault="0050153D" w:rsidP="00426D85">
            <w:pPr>
              <w:pStyle w:val="NoSpacing"/>
              <w:rPr>
                <w:rFonts w:ascii="Times New Roman" w:hAnsi="Times New Roman" w:cs="Times New Roman"/>
                <w:sz w:val="16"/>
                <w:szCs w:val="16"/>
              </w:rPr>
            </w:pPr>
          </w:p>
        </w:tc>
        <w:tc>
          <w:tcPr>
            <w:tcW w:w="851" w:type="dxa"/>
            <w:vMerge/>
          </w:tcPr>
          <w:p w:rsidR="0050153D" w:rsidRPr="00572582" w:rsidRDefault="0050153D" w:rsidP="00426D85">
            <w:pPr>
              <w:pStyle w:val="NoSpacing"/>
              <w:rPr>
                <w:rFonts w:ascii="Times New Roman" w:hAnsi="Times New Roman" w:cs="Times New Roman"/>
                <w:sz w:val="16"/>
                <w:szCs w:val="16"/>
              </w:rPr>
            </w:pPr>
          </w:p>
        </w:tc>
        <w:tc>
          <w:tcPr>
            <w:tcW w:w="957" w:type="dxa"/>
            <w:vMerge/>
          </w:tcPr>
          <w:p w:rsidR="0050153D" w:rsidRPr="00572582" w:rsidRDefault="0050153D" w:rsidP="00426D85">
            <w:pPr>
              <w:pStyle w:val="NoSpacing"/>
              <w:rPr>
                <w:rFonts w:ascii="Times New Roman" w:hAnsi="Times New Roman" w:cs="Times New Roman"/>
                <w:sz w:val="16"/>
                <w:szCs w:val="16"/>
              </w:rPr>
            </w:pPr>
          </w:p>
        </w:tc>
      </w:tr>
      <w:tr w:rsidR="0050153D" w:rsidRPr="00572582" w:rsidTr="00426D85">
        <w:trPr>
          <w:trHeight w:val="265"/>
          <w:jc w:val="center"/>
        </w:trPr>
        <w:tc>
          <w:tcPr>
            <w:tcW w:w="716" w:type="dxa"/>
            <w:vMerge/>
          </w:tcPr>
          <w:p w:rsidR="0050153D" w:rsidRPr="00572582" w:rsidRDefault="0050153D" w:rsidP="00426D85">
            <w:pPr>
              <w:pStyle w:val="NoSpacing"/>
              <w:rPr>
                <w:rFonts w:ascii="Times New Roman" w:hAnsi="Times New Roman" w:cs="Times New Roman"/>
                <w:sz w:val="16"/>
                <w:szCs w:val="16"/>
              </w:rPr>
            </w:pPr>
          </w:p>
        </w:tc>
        <w:tc>
          <w:tcPr>
            <w:tcW w:w="952" w:type="dxa"/>
            <w:vMerge/>
          </w:tcPr>
          <w:p w:rsidR="0050153D" w:rsidRPr="00572582" w:rsidRDefault="0050153D" w:rsidP="00426D85">
            <w:pPr>
              <w:pStyle w:val="NoSpacing"/>
              <w:rPr>
                <w:rFonts w:ascii="Times New Roman" w:hAnsi="Times New Roman" w:cs="Times New Roman"/>
                <w:sz w:val="16"/>
                <w:szCs w:val="16"/>
              </w:rPr>
            </w:pPr>
          </w:p>
        </w:tc>
        <w:tc>
          <w:tcPr>
            <w:tcW w:w="708" w:type="dxa"/>
            <w:vMerge/>
          </w:tcPr>
          <w:p w:rsidR="0050153D" w:rsidRPr="00572582" w:rsidRDefault="0050153D" w:rsidP="00426D85">
            <w:pPr>
              <w:pStyle w:val="NoSpacing"/>
              <w:rPr>
                <w:rFonts w:ascii="Times New Roman" w:hAnsi="Times New Roman" w:cs="Times New Roman"/>
                <w:sz w:val="16"/>
                <w:szCs w:val="16"/>
              </w:rPr>
            </w:pPr>
          </w:p>
        </w:tc>
        <w:tc>
          <w:tcPr>
            <w:tcW w:w="993" w:type="dxa"/>
            <w:vMerge/>
          </w:tcPr>
          <w:p w:rsidR="0050153D" w:rsidRPr="00572582" w:rsidRDefault="0050153D" w:rsidP="00426D85">
            <w:pPr>
              <w:pStyle w:val="NoSpacing"/>
              <w:rPr>
                <w:rFonts w:ascii="Times New Roman" w:hAnsi="Times New Roman" w:cs="Times New Roman"/>
                <w:sz w:val="16"/>
                <w:szCs w:val="16"/>
              </w:rPr>
            </w:pPr>
          </w:p>
        </w:tc>
        <w:tc>
          <w:tcPr>
            <w:tcW w:w="992" w:type="dxa"/>
            <w:vMerge/>
          </w:tcPr>
          <w:p w:rsidR="0050153D" w:rsidRPr="00572582" w:rsidRDefault="0050153D" w:rsidP="00426D85">
            <w:pPr>
              <w:pStyle w:val="NoSpacing"/>
              <w:rPr>
                <w:rFonts w:ascii="Times New Roman" w:hAnsi="Times New Roman" w:cs="Times New Roman"/>
                <w:sz w:val="16"/>
                <w:szCs w:val="16"/>
              </w:rPr>
            </w:pPr>
          </w:p>
        </w:tc>
        <w:tc>
          <w:tcPr>
            <w:tcW w:w="850" w:type="dxa"/>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Omolo-</w:t>
            </w:r>
          </w:p>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-gată</w:t>
            </w:r>
          </w:p>
        </w:tc>
        <w:tc>
          <w:tcPr>
            <w:tcW w:w="709" w:type="dxa"/>
          </w:tcPr>
          <w:p w:rsidR="0050153D" w:rsidRPr="00572582" w:rsidRDefault="0050153D" w:rsidP="00426D85">
            <w:pPr>
              <w:pStyle w:val="NoSpacing"/>
              <w:rPr>
                <w:rFonts w:ascii="Times New Roman" w:hAnsi="Times New Roman" w:cs="Times New Roman"/>
                <w:sz w:val="16"/>
                <w:szCs w:val="16"/>
              </w:rPr>
            </w:pPr>
            <w:r w:rsidRPr="00572582">
              <w:rPr>
                <w:rFonts w:ascii="Times New Roman" w:hAnsi="Times New Roman" w:cs="Times New Roman"/>
                <w:sz w:val="16"/>
                <w:szCs w:val="16"/>
              </w:rPr>
              <w:t>Folosi- tă</w:t>
            </w:r>
          </w:p>
        </w:tc>
        <w:tc>
          <w:tcPr>
            <w:tcW w:w="709" w:type="dxa"/>
            <w:vMerge/>
          </w:tcPr>
          <w:p w:rsidR="0050153D" w:rsidRPr="00572582" w:rsidRDefault="0050153D" w:rsidP="00426D85">
            <w:pPr>
              <w:pStyle w:val="NoSpacing"/>
              <w:rPr>
                <w:rFonts w:ascii="Times New Roman" w:hAnsi="Times New Roman" w:cs="Times New Roman"/>
                <w:sz w:val="16"/>
                <w:szCs w:val="16"/>
              </w:rPr>
            </w:pPr>
          </w:p>
        </w:tc>
        <w:tc>
          <w:tcPr>
            <w:tcW w:w="850" w:type="dxa"/>
            <w:vMerge/>
          </w:tcPr>
          <w:p w:rsidR="0050153D" w:rsidRPr="00572582" w:rsidRDefault="0050153D" w:rsidP="00426D85">
            <w:pPr>
              <w:pStyle w:val="NoSpacing"/>
              <w:rPr>
                <w:rFonts w:ascii="Times New Roman" w:hAnsi="Times New Roman" w:cs="Times New Roman"/>
                <w:sz w:val="16"/>
                <w:szCs w:val="16"/>
              </w:rPr>
            </w:pPr>
          </w:p>
        </w:tc>
        <w:tc>
          <w:tcPr>
            <w:tcW w:w="1134" w:type="dxa"/>
            <w:vMerge/>
          </w:tcPr>
          <w:p w:rsidR="0050153D" w:rsidRPr="00572582" w:rsidRDefault="0050153D" w:rsidP="00426D85">
            <w:pPr>
              <w:pStyle w:val="NoSpacing"/>
              <w:rPr>
                <w:rFonts w:ascii="Times New Roman" w:hAnsi="Times New Roman" w:cs="Times New Roman"/>
                <w:sz w:val="16"/>
                <w:szCs w:val="16"/>
              </w:rPr>
            </w:pPr>
          </w:p>
        </w:tc>
        <w:tc>
          <w:tcPr>
            <w:tcW w:w="851" w:type="dxa"/>
            <w:vMerge/>
          </w:tcPr>
          <w:p w:rsidR="0050153D" w:rsidRPr="00572582" w:rsidRDefault="0050153D" w:rsidP="00426D85">
            <w:pPr>
              <w:pStyle w:val="NoSpacing"/>
              <w:rPr>
                <w:rFonts w:ascii="Times New Roman" w:hAnsi="Times New Roman" w:cs="Times New Roman"/>
                <w:sz w:val="16"/>
                <w:szCs w:val="16"/>
              </w:rPr>
            </w:pPr>
          </w:p>
        </w:tc>
        <w:tc>
          <w:tcPr>
            <w:tcW w:w="957" w:type="dxa"/>
            <w:vMerge/>
          </w:tcPr>
          <w:p w:rsidR="0050153D" w:rsidRPr="00572582" w:rsidRDefault="0050153D" w:rsidP="00426D85">
            <w:pPr>
              <w:pStyle w:val="NoSpacing"/>
              <w:rPr>
                <w:rFonts w:ascii="Times New Roman" w:hAnsi="Times New Roman" w:cs="Times New Roman"/>
                <w:sz w:val="16"/>
                <w:szCs w:val="16"/>
              </w:rPr>
            </w:pPr>
          </w:p>
        </w:tc>
      </w:tr>
    </w:tbl>
    <w:p w:rsidR="00DF4598" w:rsidRPr="002603FF" w:rsidRDefault="0050153D" w:rsidP="0050153D">
      <w:pPr>
        <w:ind w:firstLine="709"/>
        <w:rPr>
          <w:sz w:val="18"/>
          <w:szCs w:val="18"/>
        </w:rPr>
      </w:pPr>
      <w:r w:rsidRPr="002603FF">
        <w:rPr>
          <w:sz w:val="18"/>
          <w:szCs w:val="18"/>
        </w:rPr>
        <w:t xml:space="preserve">Conform Reg. CE nr. 1107/2009, art.67 (1) producătorulagricolnumeroteazăpaginileregistrului. </w:t>
      </w:r>
    </w:p>
    <w:p w:rsidR="002603FF" w:rsidRDefault="0050153D" w:rsidP="0050153D">
      <w:pPr>
        <w:ind w:firstLine="709"/>
        <w:rPr>
          <w:lang w:val="pt-BR"/>
        </w:rPr>
      </w:pPr>
      <w:r w:rsidRPr="002603FF">
        <w:rPr>
          <w:sz w:val="18"/>
          <w:szCs w:val="18"/>
          <w:lang w:val="pt-BR"/>
        </w:rPr>
        <w:t>Pe spatele registrului (pe ultima pagină) se menționează câte pagini conține registrul, purtând semnătura (și ștampila după caz) a fermierului sau administratorului societății</w:t>
      </w:r>
      <w:r w:rsidRPr="00DF4598">
        <w:rPr>
          <w:lang w:val="pt-BR"/>
        </w:rPr>
        <w:t xml:space="preserve">. </w:t>
      </w:r>
    </w:p>
    <w:p w:rsidR="0050153D" w:rsidRPr="00DF4598" w:rsidRDefault="0050153D" w:rsidP="0050153D">
      <w:pPr>
        <w:ind w:firstLine="709"/>
        <w:rPr>
          <w:lang w:val="pt-BR"/>
        </w:rPr>
      </w:pPr>
      <w:r w:rsidRPr="00DF4598">
        <w:rPr>
          <w:lang w:val="pt-BR"/>
        </w:rPr>
        <w:tab/>
      </w:r>
    </w:p>
    <w:p w:rsidR="0050153D" w:rsidRPr="00F27E72" w:rsidRDefault="0050153D" w:rsidP="0050153D">
      <w:pPr>
        <w:ind w:firstLine="709"/>
        <w:rPr>
          <w:lang w:val="pt-BR"/>
        </w:rPr>
      </w:pPr>
      <w:r w:rsidRPr="00F27E72">
        <w:rPr>
          <w:lang w:val="pt-BR"/>
        </w:rPr>
        <w:t xml:space="preserve">Inspectorii Oficiului Fitosanitar pot sancționa fermierul, conform HG nr. 1230 din 12.12. 2012 privind stabilirea unor măsuri pentru aplicarea prevederilor Regulamentului (CE) nr. 1107/2009 al Parlamentului European și al Consiliului din 21.10.2009 privind introducerea pe piață a produselor fitosanitare și de abrogare a Directivelor 79/117/CEE si 91/414/CEE ale Consiliului, art. 3, pct. 1 (i),(1) Constituie contravenții următoarele fapte: i.) nerespectarea de către utilizatorii profesioniști a prevederilor art.67 alin. (1) din Regulamentul (CE) nr. 1107/2009 privind menținerea evidenței pe o perioadă de cel puțin 3 ani a produselor de protecție a plantelor pe care le utilizează (se sancționează cu amendă de la 8.000 lei la 10.000 lei). </w:t>
      </w:r>
    </w:p>
    <w:p w:rsidR="0050153D" w:rsidRPr="00F27E72" w:rsidRDefault="0050153D" w:rsidP="0050153D">
      <w:pPr>
        <w:autoSpaceDE w:val="0"/>
        <w:autoSpaceDN w:val="0"/>
        <w:adjustRightInd w:val="0"/>
        <w:ind w:firstLine="708"/>
        <w:rPr>
          <w:lang w:val="pt-BR"/>
        </w:rPr>
      </w:pPr>
      <w:r w:rsidRPr="00F27E72">
        <w:rPr>
          <w:lang w:val="pt-BR"/>
        </w:rPr>
        <w:t xml:space="preserve">Se vor respecta normele de ecocondiționalitate prevăzute în Ordinul nr. 869/2016 . Se vor respecta condițiile de depozitare, manipulare și utilizare a produselor de protecție a plantelor în exploatațiile agricole, conform Ghidului de bune practici de utilizare și depozitare a produselor de protecția plantelor,  https://www.anfdf. ro/sanatate/ghid/ghiduri.html   elaborate de AUTORITATEA NAȚIONALĂ FITOSANITARĂ. </w:t>
      </w:r>
    </w:p>
    <w:p w:rsidR="0050153D" w:rsidRDefault="0050153D" w:rsidP="0050153D">
      <w:pPr>
        <w:autoSpaceDE w:val="0"/>
        <w:autoSpaceDN w:val="0"/>
        <w:adjustRightInd w:val="0"/>
        <w:rPr>
          <w:color w:val="000000"/>
          <w:lang w:val="ro-RO"/>
        </w:rPr>
      </w:pPr>
      <w:r w:rsidRPr="0020073C">
        <w:rPr>
          <w:color w:val="000000"/>
          <w:lang w:val="ro-RO"/>
        </w:rPr>
        <w:t xml:space="preserve">Pentru mai multe detalii accesati: </w:t>
      </w:r>
      <w:hyperlink r:id="rId16" w:history="1">
        <w:r w:rsidRPr="00CE0337">
          <w:rPr>
            <w:rStyle w:val="Hyperlink"/>
            <w:lang w:val="ro-RO"/>
          </w:rPr>
          <w:t>http://www.madr.ro/norme-de-eco-conditionalitate-in-domeniul-fitosanitar.html</w:t>
        </w:r>
      </w:hyperlink>
      <w:r w:rsidRPr="0020073C">
        <w:rPr>
          <w:color w:val="000000"/>
          <w:lang w:val="ro-RO"/>
        </w:rPr>
        <w:t>.</w:t>
      </w:r>
    </w:p>
    <w:p w:rsidR="00F65A68" w:rsidRDefault="00F65A68" w:rsidP="0050153D">
      <w:pPr>
        <w:autoSpaceDE w:val="0"/>
        <w:autoSpaceDN w:val="0"/>
        <w:adjustRightInd w:val="0"/>
        <w:rPr>
          <w:color w:val="000000"/>
          <w:lang w:val="ro-RO"/>
        </w:rPr>
      </w:pPr>
    </w:p>
    <w:p w:rsidR="0062307B" w:rsidRPr="00F27E72" w:rsidRDefault="0062307B" w:rsidP="007D10F0">
      <w:pPr>
        <w:ind w:firstLine="720"/>
        <w:rPr>
          <w:lang w:val="pt-BR"/>
        </w:rPr>
      </w:pPr>
    </w:p>
    <w:p w:rsidR="0050153D" w:rsidRPr="00F27E72" w:rsidRDefault="002603FF" w:rsidP="002603FF">
      <w:pPr>
        <w:ind w:firstLine="720"/>
        <w:jc w:val="center"/>
        <w:rPr>
          <w:lang w:val="pt-BR"/>
        </w:rPr>
      </w:pPr>
      <w:r>
        <w:rPr>
          <w:noProof/>
          <w:lang w:val="ro-RO" w:eastAsia="ro-RO"/>
        </w:rPr>
        <w:drawing>
          <wp:inline distT="0" distB="0" distL="0" distR="0">
            <wp:extent cx="4201013" cy="1057702"/>
            <wp:effectExtent l="0" t="0" r="0" b="9525"/>
            <wp:docPr id="11459134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13425" name="Imagine 1145913425"/>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16100" cy="1061501"/>
                    </a:xfrm>
                    <a:prstGeom prst="rect">
                      <a:avLst/>
                    </a:prstGeom>
                  </pic:spPr>
                </pic:pic>
              </a:graphicData>
            </a:graphic>
          </wp:inline>
        </w:drawing>
      </w:r>
    </w:p>
    <w:p w:rsidR="005F0011" w:rsidRPr="007B07FD" w:rsidRDefault="005F0011">
      <w:pPr>
        <w:rPr>
          <w:lang w:val="pt-BR"/>
        </w:rPr>
      </w:pPr>
    </w:p>
    <w:sectPr w:rsidR="005F0011" w:rsidRPr="007B07FD" w:rsidSect="00C067A0">
      <w:type w:val="continuous"/>
      <w:pgSz w:w="12240" w:h="15840" w:code="1"/>
      <w:pgMar w:top="306" w:right="510" w:bottom="306" w:left="1191" w:header="283"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B9C" w:rsidRDefault="00B00B9C" w:rsidP="00901CCA">
      <w:r>
        <w:separator/>
      </w:r>
    </w:p>
  </w:endnote>
  <w:endnote w:type="continuationSeparator" w:id="1">
    <w:p w:rsidR="00B00B9C" w:rsidRDefault="00B00B9C" w:rsidP="00901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B9C" w:rsidRDefault="00B00B9C" w:rsidP="00901CCA">
      <w:r>
        <w:separator/>
      </w:r>
    </w:p>
  </w:footnote>
  <w:footnote w:type="continuationSeparator" w:id="1">
    <w:p w:rsidR="00B00B9C" w:rsidRDefault="00B00B9C" w:rsidP="00901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14"/>
      <w:gridCol w:w="7129"/>
    </w:tblGrid>
    <w:tr w:rsidR="008C59FF" w:rsidRPr="000402AF" w:rsidTr="007E3B1F">
      <w:trPr>
        <w:trHeight w:val="841"/>
        <w:jc w:val="center"/>
      </w:trPr>
      <w:tc>
        <w:tcPr>
          <w:tcW w:w="3114" w:type="dxa"/>
          <w:tcBorders>
            <w:top w:val="single" w:sz="4" w:space="0" w:color="000000"/>
            <w:left w:val="single" w:sz="4" w:space="0" w:color="000000"/>
            <w:bottom w:val="single" w:sz="4" w:space="0" w:color="000000"/>
            <w:right w:val="single" w:sz="4" w:space="0" w:color="000000"/>
          </w:tcBorders>
        </w:tcPr>
        <w:p w:rsidR="008C59FF" w:rsidRPr="00941908" w:rsidRDefault="008C59FF" w:rsidP="008C59FF">
          <w:pPr>
            <w:pStyle w:val="Header"/>
            <w:rPr>
              <w:sz w:val="8"/>
              <w:szCs w:val="8"/>
            </w:rPr>
          </w:pPr>
        </w:p>
        <w:p w:rsidR="008C59FF" w:rsidRPr="000402AF" w:rsidRDefault="008C59FF" w:rsidP="008C59FF">
          <w:pPr>
            <w:pStyle w:val="Header"/>
            <w:tabs>
              <w:tab w:val="clear" w:pos="4536"/>
              <w:tab w:val="left" w:pos="913"/>
            </w:tabs>
            <w:rPr>
              <w:sz w:val="16"/>
              <w:szCs w:val="16"/>
            </w:rPr>
          </w:pPr>
          <w:r w:rsidRPr="000402AF">
            <w:rPr>
              <w:noProof/>
              <w:sz w:val="16"/>
              <w:szCs w:val="16"/>
              <w:lang w:val="ro-RO" w:eastAsia="ro-RO"/>
            </w:rPr>
            <w:drawing>
              <wp:anchor distT="0" distB="0" distL="0" distR="0" simplePos="0" relativeHeight="251659264" behindDoc="1" locked="0" layoutInCell="1" allowOverlap="1">
                <wp:simplePos x="0" y="0"/>
                <wp:positionH relativeFrom="page">
                  <wp:posOffset>59690</wp:posOffset>
                </wp:positionH>
                <wp:positionV relativeFrom="paragraph">
                  <wp:posOffset>3810</wp:posOffset>
                </wp:positionV>
                <wp:extent cx="1457325" cy="295275"/>
                <wp:effectExtent l="0" t="0" r="9525" b="9525"/>
                <wp:wrapNone/>
                <wp:docPr id="2110605504" name="Imagin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 green and black logo&#10;&#10;AI-generated content may be incorrect."/>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7325" cy="295275"/>
                        </a:xfrm>
                        <a:prstGeom prst="rect">
                          <a:avLst/>
                        </a:prstGeom>
                        <a:noFill/>
                      </pic:spPr>
                    </pic:pic>
                  </a:graphicData>
                </a:graphic>
              </wp:anchor>
            </w:drawing>
          </w:r>
          <w:r>
            <w:rPr>
              <w:sz w:val="16"/>
              <w:szCs w:val="16"/>
            </w:rPr>
            <w:tab/>
          </w:r>
        </w:p>
      </w:tc>
      <w:tc>
        <w:tcPr>
          <w:tcW w:w="7129" w:type="dxa"/>
          <w:tcBorders>
            <w:top w:val="single" w:sz="4" w:space="0" w:color="000000"/>
            <w:left w:val="single" w:sz="4" w:space="0" w:color="000000"/>
            <w:bottom w:val="single" w:sz="4" w:space="0" w:color="000000"/>
            <w:right w:val="single" w:sz="4" w:space="0" w:color="000000"/>
          </w:tcBorders>
          <w:hideMark/>
        </w:tcPr>
        <w:p w:rsidR="008C59FF" w:rsidRPr="000402AF" w:rsidRDefault="008C59FF" w:rsidP="008C59FF">
          <w:pPr>
            <w:pStyle w:val="Header"/>
            <w:rPr>
              <w:b/>
              <w:sz w:val="16"/>
              <w:szCs w:val="16"/>
              <w:lang w:val="pt-BR"/>
            </w:rPr>
          </w:pPr>
          <w:r w:rsidRPr="000402AF">
            <w:rPr>
              <w:b/>
              <w:sz w:val="16"/>
              <w:szCs w:val="16"/>
              <w:lang w:val="pt-BR"/>
            </w:rPr>
            <w:t>OFICIUL FITOSANITAR MUREȘ</w:t>
          </w:r>
        </w:p>
        <w:p w:rsidR="008C59FF" w:rsidRPr="00F718CE" w:rsidRDefault="008C59FF" w:rsidP="008C59FF">
          <w:pPr>
            <w:pStyle w:val="Header"/>
            <w:rPr>
              <w:sz w:val="18"/>
              <w:szCs w:val="18"/>
            </w:rPr>
          </w:pPr>
          <w:r w:rsidRPr="00F718CE">
            <w:rPr>
              <w:sz w:val="18"/>
              <w:szCs w:val="18"/>
              <w:lang w:val="pt-BR"/>
            </w:rPr>
            <w:t xml:space="preserve">Str. Dezrobirii, nr. 80, Tg. </w:t>
          </w:r>
          <w:r w:rsidRPr="00F718CE">
            <w:rPr>
              <w:sz w:val="18"/>
              <w:szCs w:val="18"/>
            </w:rPr>
            <w:t>Mureș, jud. Mureș, 540243</w:t>
          </w:r>
        </w:p>
        <w:p w:rsidR="008C59FF" w:rsidRPr="00F718CE" w:rsidRDefault="008C59FF" w:rsidP="008C59FF">
          <w:pPr>
            <w:pStyle w:val="Header"/>
            <w:rPr>
              <w:sz w:val="18"/>
              <w:szCs w:val="18"/>
              <w:lang w:val="pt-BR"/>
            </w:rPr>
          </w:pPr>
          <w:r w:rsidRPr="00F718CE">
            <w:rPr>
              <w:sz w:val="18"/>
              <w:szCs w:val="18"/>
              <w:lang w:val="pt-BR"/>
            </w:rPr>
            <w:t>Tel. 0265435245; 0787603984</w:t>
          </w:r>
        </w:p>
        <w:p w:rsidR="008C59FF" w:rsidRPr="000402AF" w:rsidRDefault="008C59FF" w:rsidP="008C59FF">
          <w:pPr>
            <w:pStyle w:val="Header"/>
            <w:rPr>
              <w:sz w:val="16"/>
              <w:szCs w:val="16"/>
              <w:lang w:val="pt-BR"/>
            </w:rPr>
          </w:pPr>
          <w:r w:rsidRPr="00F718CE">
            <w:rPr>
              <w:sz w:val="18"/>
              <w:szCs w:val="18"/>
              <w:lang w:val="pt-BR"/>
            </w:rPr>
            <w:t xml:space="preserve">E-mail: </w:t>
          </w:r>
          <w:hyperlink r:id="rId2" w:history="1">
            <w:r w:rsidRPr="00F718CE">
              <w:rPr>
                <w:rStyle w:val="Hyperlink"/>
                <w:rFonts w:eastAsiaTheme="minorEastAsia"/>
                <w:i/>
                <w:sz w:val="18"/>
                <w:szCs w:val="18"/>
                <w:lang w:val="pt-BR"/>
              </w:rPr>
              <w:t>ofmures@anfof.ro</w:t>
            </w:r>
          </w:hyperlink>
        </w:p>
      </w:tc>
    </w:tr>
  </w:tbl>
  <w:p w:rsidR="008C59FF" w:rsidRPr="00F65A68" w:rsidRDefault="008C59FF" w:rsidP="008C59FF">
    <w:pPr>
      <w:pStyle w:val="Head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522B"/>
    <w:multiLevelType w:val="hybridMultilevel"/>
    <w:tmpl w:val="27F2C7DE"/>
    <w:lvl w:ilvl="0" w:tplc="4A922F0C">
      <w:start w:val="1"/>
      <w:numFmt w:val="upperLetter"/>
      <w:lvlText w:val="%1."/>
      <w:lvlJc w:val="left"/>
      <w:pPr>
        <w:ind w:left="1211"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00"/>
  <w:displayHorizontalDrawingGridEvery w:val="2"/>
  <w:characterSpacingControl w:val="doNotCompress"/>
  <w:footnotePr>
    <w:footnote w:id="0"/>
    <w:footnote w:id="1"/>
  </w:footnotePr>
  <w:endnotePr>
    <w:endnote w:id="0"/>
    <w:endnote w:id="1"/>
  </w:endnotePr>
  <w:compat/>
  <w:rsids>
    <w:rsidRoot w:val="007D10F0"/>
    <w:rsid w:val="00013445"/>
    <w:rsid w:val="000206AA"/>
    <w:rsid w:val="0002607F"/>
    <w:rsid w:val="000467D7"/>
    <w:rsid w:val="000838D5"/>
    <w:rsid w:val="000B2FF8"/>
    <w:rsid w:val="000C7DF7"/>
    <w:rsid w:val="000F57D6"/>
    <w:rsid w:val="00123490"/>
    <w:rsid w:val="00125391"/>
    <w:rsid w:val="001541C5"/>
    <w:rsid w:val="00162BDE"/>
    <w:rsid w:val="00183F95"/>
    <w:rsid w:val="00184187"/>
    <w:rsid w:val="001921D7"/>
    <w:rsid w:val="001C3904"/>
    <w:rsid w:val="001D1A93"/>
    <w:rsid w:val="001D1BAF"/>
    <w:rsid w:val="001D47E2"/>
    <w:rsid w:val="001E5C03"/>
    <w:rsid w:val="00225082"/>
    <w:rsid w:val="002351F8"/>
    <w:rsid w:val="00242075"/>
    <w:rsid w:val="002475B5"/>
    <w:rsid w:val="002603FF"/>
    <w:rsid w:val="00273075"/>
    <w:rsid w:val="00277913"/>
    <w:rsid w:val="002A3024"/>
    <w:rsid w:val="002A6EF3"/>
    <w:rsid w:val="002E4BA9"/>
    <w:rsid w:val="00311EF6"/>
    <w:rsid w:val="003134F0"/>
    <w:rsid w:val="00322D2B"/>
    <w:rsid w:val="00376552"/>
    <w:rsid w:val="00382169"/>
    <w:rsid w:val="00390EB1"/>
    <w:rsid w:val="003A300F"/>
    <w:rsid w:val="003F2355"/>
    <w:rsid w:val="004234F8"/>
    <w:rsid w:val="00426D7D"/>
    <w:rsid w:val="00463206"/>
    <w:rsid w:val="004800B0"/>
    <w:rsid w:val="00480D78"/>
    <w:rsid w:val="0048109C"/>
    <w:rsid w:val="0048652A"/>
    <w:rsid w:val="004B42A2"/>
    <w:rsid w:val="004E3723"/>
    <w:rsid w:val="005011E4"/>
    <w:rsid w:val="0050153D"/>
    <w:rsid w:val="00524ADC"/>
    <w:rsid w:val="0053247E"/>
    <w:rsid w:val="0056776A"/>
    <w:rsid w:val="00587723"/>
    <w:rsid w:val="005A7D4D"/>
    <w:rsid w:val="005C302A"/>
    <w:rsid w:val="005E2ED0"/>
    <w:rsid w:val="005F0011"/>
    <w:rsid w:val="0062307B"/>
    <w:rsid w:val="006231B7"/>
    <w:rsid w:val="006550FD"/>
    <w:rsid w:val="006551BE"/>
    <w:rsid w:val="00696861"/>
    <w:rsid w:val="006D7AAA"/>
    <w:rsid w:val="006E3AB9"/>
    <w:rsid w:val="006F43B2"/>
    <w:rsid w:val="0072048A"/>
    <w:rsid w:val="0075509D"/>
    <w:rsid w:val="007573DB"/>
    <w:rsid w:val="007B07FD"/>
    <w:rsid w:val="007D10F0"/>
    <w:rsid w:val="007D773F"/>
    <w:rsid w:val="008058D3"/>
    <w:rsid w:val="00813878"/>
    <w:rsid w:val="0082791B"/>
    <w:rsid w:val="00862937"/>
    <w:rsid w:val="008B7637"/>
    <w:rsid w:val="008C59FF"/>
    <w:rsid w:val="008C5C67"/>
    <w:rsid w:val="00901CCA"/>
    <w:rsid w:val="0097416D"/>
    <w:rsid w:val="009C5880"/>
    <w:rsid w:val="009D40DF"/>
    <w:rsid w:val="00A25A8E"/>
    <w:rsid w:val="00A2750E"/>
    <w:rsid w:val="00A449B7"/>
    <w:rsid w:val="00A579E9"/>
    <w:rsid w:val="00A64C3F"/>
    <w:rsid w:val="00A85ACA"/>
    <w:rsid w:val="00AB048F"/>
    <w:rsid w:val="00AE3B25"/>
    <w:rsid w:val="00AE64E9"/>
    <w:rsid w:val="00AF778B"/>
    <w:rsid w:val="00B00B9C"/>
    <w:rsid w:val="00B156C8"/>
    <w:rsid w:val="00B65803"/>
    <w:rsid w:val="00B718DE"/>
    <w:rsid w:val="00B73252"/>
    <w:rsid w:val="00BD5B96"/>
    <w:rsid w:val="00C060F4"/>
    <w:rsid w:val="00C067A0"/>
    <w:rsid w:val="00C13A7D"/>
    <w:rsid w:val="00C36B4C"/>
    <w:rsid w:val="00C46A12"/>
    <w:rsid w:val="00C652C2"/>
    <w:rsid w:val="00C951BD"/>
    <w:rsid w:val="00C96F7E"/>
    <w:rsid w:val="00CA1EB0"/>
    <w:rsid w:val="00CC2393"/>
    <w:rsid w:val="00D37B4E"/>
    <w:rsid w:val="00D44B7E"/>
    <w:rsid w:val="00D57236"/>
    <w:rsid w:val="00D76831"/>
    <w:rsid w:val="00D859BD"/>
    <w:rsid w:val="00DC0798"/>
    <w:rsid w:val="00DD5099"/>
    <w:rsid w:val="00DF4598"/>
    <w:rsid w:val="00E0155E"/>
    <w:rsid w:val="00E07BF5"/>
    <w:rsid w:val="00E577FF"/>
    <w:rsid w:val="00E70D08"/>
    <w:rsid w:val="00E80FF3"/>
    <w:rsid w:val="00E82079"/>
    <w:rsid w:val="00F229FF"/>
    <w:rsid w:val="00F27E72"/>
    <w:rsid w:val="00F65A68"/>
    <w:rsid w:val="00F71035"/>
    <w:rsid w:val="00FD269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0F0"/>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link w:val="Heading1Char"/>
    <w:uiPriority w:val="9"/>
    <w:qFormat/>
    <w:rsid w:val="001D47E2"/>
    <w:pPr>
      <w:spacing w:before="100" w:beforeAutospacing="1" w:after="100" w:afterAutospacing="1"/>
      <w:outlineLvl w:val="0"/>
    </w:pPr>
    <w:rPr>
      <w:b/>
      <w:bCs/>
      <w:kern w:val="36"/>
      <w:sz w:val="48"/>
      <w:szCs w:val="48"/>
      <w:lang w:val="en-US"/>
    </w:rPr>
  </w:style>
  <w:style w:type="paragraph" w:styleId="Heading2">
    <w:name w:val="heading 2"/>
    <w:basedOn w:val="Normal"/>
    <w:next w:val="Normal"/>
    <w:link w:val="Heading2Char"/>
    <w:qFormat/>
    <w:rsid w:val="007D10F0"/>
    <w:pPr>
      <w:keepNext/>
      <w:ind w:firstLine="720"/>
      <w:jc w:val="both"/>
      <w:outlineLvl w:val="1"/>
    </w:pPr>
    <w:rPr>
      <w:i/>
      <w:sz w:val="24"/>
    </w:rPr>
  </w:style>
  <w:style w:type="paragraph" w:styleId="Heading3">
    <w:name w:val="heading 3"/>
    <w:basedOn w:val="Normal"/>
    <w:link w:val="Heading3Char"/>
    <w:uiPriority w:val="9"/>
    <w:qFormat/>
    <w:rsid w:val="001D47E2"/>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47E2"/>
    <w:rPr>
      <w:rFonts w:ascii="Times New Roman" w:eastAsia="Times New Roman" w:hAnsi="Times New Roman" w:cs="Times New Roman"/>
      <w:b/>
      <w:bCs/>
      <w:sz w:val="27"/>
      <w:szCs w:val="27"/>
    </w:rPr>
  </w:style>
  <w:style w:type="character" w:styleId="Strong">
    <w:name w:val="Strong"/>
    <w:basedOn w:val="DefaultParagraphFont"/>
    <w:uiPriority w:val="22"/>
    <w:qFormat/>
    <w:rsid w:val="001D47E2"/>
    <w:rPr>
      <w:b/>
      <w:bCs/>
    </w:rPr>
  </w:style>
  <w:style w:type="character" w:customStyle="1" w:styleId="Heading2Char">
    <w:name w:val="Heading 2 Char"/>
    <w:basedOn w:val="DefaultParagraphFont"/>
    <w:link w:val="Heading2"/>
    <w:rsid w:val="007D10F0"/>
    <w:rPr>
      <w:rFonts w:ascii="Times New Roman" w:eastAsia="Times New Roman" w:hAnsi="Times New Roman" w:cs="Times New Roman"/>
      <w:i/>
      <w:sz w:val="24"/>
      <w:szCs w:val="20"/>
      <w:lang w:val="en-AU"/>
    </w:rPr>
  </w:style>
  <w:style w:type="paragraph" w:styleId="BodyText">
    <w:name w:val="Body Text"/>
    <w:basedOn w:val="Normal"/>
    <w:link w:val="BodyTextChar"/>
    <w:rsid w:val="007D10F0"/>
    <w:rPr>
      <w:sz w:val="24"/>
    </w:rPr>
  </w:style>
  <w:style w:type="character" w:customStyle="1" w:styleId="BodyTextChar">
    <w:name w:val="Body Text Char"/>
    <w:basedOn w:val="DefaultParagraphFont"/>
    <w:link w:val="BodyText"/>
    <w:rsid w:val="007D10F0"/>
    <w:rPr>
      <w:rFonts w:ascii="Times New Roman" w:eastAsia="Times New Roman" w:hAnsi="Times New Roman" w:cs="Times New Roman"/>
      <w:sz w:val="24"/>
      <w:szCs w:val="20"/>
      <w:lang w:val="en-AU"/>
    </w:rPr>
  </w:style>
  <w:style w:type="character" w:styleId="Hyperlink">
    <w:name w:val="Hyperlink"/>
    <w:basedOn w:val="DefaultParagraphFont"/>
    <w:rsid w:val="007D10F0"/>
    <w:rPr>
      <w:color w:val="0000FF"/>
      <w:u w:val="single"/>
    </w:rPr>
  </w:style>
  <w:style w:type="paragraph" w:styleId="BalloonText">
    <w:name w:val="Balloon Text"/>
    <w:basedOn w:val="Normal"/>
    <w:link w:val="BalloonTextChar"/>
    <w:uiPriority w:val="99"/>
    <w:semiHidden/>
    <w:unhideWhenUsed/>
    <w:rsid w:val="0075509D"/>
    <w:rPr>
      <w:rFonts w:ascii="Tahoma" w:hAnsi="Tahoma" w:cs="Tahoma"/>
      <w:sz w:val="16"/>
      <w:szCs w:val="16"/>
    </w:rPr>
  </w:style>
  <w:style w:type="character" w:customStyle="1" w:styleId="BalloonTextChar">
    <w:name w:val="Balloon Text Char"/>
    <w:basedOn w:val="DefaultParagraphFont"/>
    <w:link w:val="BalloonText"/>
    <w:uiPriority w:val="99"/>
    <w:semiHidden/>
    <w:rsid w:val="0075509D"/>
    <w:rPr>
      <w:rFonts w:ascii="Tahoma" w:eastAsia="Times New Roman" w:hAnsi="Tahoma" w:cs="Tahoma"/>
      <w:sz w:val="16"/>
      <w:szCs w:val="16"/>
      <w:lang w:val="en-AU"/>
    </w:rPr>
  </w:style>
  <w:style w:type="paragraph" w:styleId="Header">
    <w:name w:val="header"/>
    <w:basedOn w:val="Normal"/>
    <w:link w:val="HeaderChar"/>
    <w:uiPriority w:val="99"/>
    <w:unhideWhenUsed/>
    <w:rsid w:val="00901CCA"/>
    <w:pPr>
      <w:tabs>
        <w:tab w:val="center" w:pos="4536"/>
        <w:tab w:val="right" w:pos="9072"/>
      </w:tabs>
    </w:pPr>
  </w:style>
  <w:style w:type="character" w:customStyle="1" w:styleId="HeaderChar">
    <w:name w:val="Header Char"/>
    <w:basedOn w:val="DefaultParagraphFont"/>
    <w:link w:val="Header"/>
    <w:uiPriority w:val="99"/>
    <w:rsid w:val="00901CCA"/>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901CCA"/>
    <w:pPr>
      <w:tabs>
        <w:tab w:val="center" w:pos="4536"/>
        <w:tab w:val="right" w:pos="9072"/>
      </w:tabs>
    </w:pPr>
  </w:style>
  <w:style w:type="character" w:customStyle="1" w:styleId="FooterChar">
    <w:name w:val="Footer Char"/>
    <w:basedOn w:val="DefaultParagraphFont"/>
    <w:link w:val="Footer"/>
    <w:uiPriority w:val="99"/>
    <w:rsid w:val="00901CCA"/>
    <w:rPr>
      <w:rFonts w:ascii="Times New Roman" w:eastAsia="Times New Roman" w:hAnsi="Times New Roman" w:cs="Times New Roman"/>
      <w:sz w:val="20"/>
      <w:szCs w:val="20"/>
      <w:lang w:val="en-AU"/>
    </w:rPr>
  </w:style>
  <w:style w:type="table" w:styleId="TableGrid">
    <w:name w:val="Table Grid"/>
    <w:basedOn w:val="TableNormal"/>
    <w:uiPriority w:val="39"/>
    <w:rsid w:val="00901CCA"/>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0153D"/>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743720390">
      <w:bodyDiv w:val="1"/>
      <w:marLeft w:val="0"/>
      <w:marRight w:val="0"/>
      <w:marTop w:val="0"/>
      <w:marBottom w:val="0"/>
      <w:divBdr>
        <w:top w:val="none" w:sz="0" w:space="0" w:color="auto"/>
        <w:left w:val="none" w:sz="0" w:space="0" w:color="auto"/>
        <w:bottom w:val="none" w:sz="0" w:space="0" w:color="auto"/>
        <w:right w:val="none" w:sz="0" w:space="0" w:color="auto"/>
      </w:divBdr>
    </w:div>
    <w:div w:id="1381590098">
      <w:bodyDiv w:val="1"/>
      <w:marLeft w:val="0"/>
      <w:marRight w:val="0"/>
      <w:marTop w:val="0"/>
      <w:marBottom w:val="0"/>
      <w:divBdr>
        <w:top w:val="none" w:sz="0" w:space="0" w:color="auto"/>
        <w:left w:val="none" w:sz="0" w:space="0" w:color="auto"/>
        <w:bottom w:val="none" w:sz="0" w:space="0" w:color="auto"/>
        <w:right w:val="none" w:sz="0" w:space="0" w:color="auto"/>
      </w:divBdr>
    </w:div>
    <w:div w:id="1581133305">
      <w:bodyDiv w:val="1"/>
      <w:marLeft w:val="0"/>
      <w:marRight w:val="0"/>
      <w:marTop w:val="0"/>
      <w:marBottom w:val="0"/>
      <w:divBdr>
        <w:top w:val="none" w:sz="0" w:space="0" w:color="auto"/>
        <w:left w:val="none" w:sz="0" w:space="0" w:color="auto"/>
        <w:bottom w:val="none" w:sz="0" w:space="0" w:color="auto"/>
        <w:right w:val="none" w:sz="0" w:space="0" w:color="auto"/>
      </w:divBdr>
    </w:div>
    <w:div w:id="20859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6.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www.madr.ro/norme-de-eco-conditionalitate-in-domeniul-fitosanitar.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aloe.anfdf.ro"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adr.r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fmures@anfof.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1420</Words>
  <Characters>8236</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FITOSANITAR</cp:lastModifiedBy>
  <cp:revision>5</cp:revision>
  <cp:lastPrinted>2020-03-18T11:00:00Z</cp:lastPrinted>
  <dcterms:created xsi:type="dcterms:W3CDTF">2026-04-27T12:35:00Z</dcterms:created>
  <dcterms:modified xsi:type="dcterms:W3CDTF">2026-06-24T06:45:00Z</dcterms:modified>
</cp:coreProperties>
</file>