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34" w:rsidRPr="00FE09BF" w:rsidRDefault="004A5134" w:rsidP="00CE5360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4"/>
        <w:gridCol w:w="7129"/>
      </w:tblGrid>
      <w:tr w:rsidR="004A5134" w:rsidRPr="00FE09BF" w:rsidTr="00995D8E">
        <w:trPr>
          <w:trHeight w:val="8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34" w:rsidRPr="00FE09BF" w:rsidRDefault="004A5134" w:rsidP="00995D8E">
            <w:pPr>
              <w:pStyle w:val="Header"/>
              <w:rPr>
                <w:sz w:val="24"/>
                <w:szCs w:val="24"/>
                <w:lang w:val="en-US"/>
              </w:rPr>
            </w:pPr>
          </w:p>
          <w:p w:rsidR="004A5134" w:rsidRPr="00FE09BF" w:rsidRDefault="004A5134" w:rsidP="00995D8E">
            <w:pPr>
              <w:pStyle w:val="Header"/>
              <w:rPr>
                <w:sz w:val="24"/>
                <w:szCs w:val="24"/>
                <w:lang w:val="en-US"/>
              </w:rPr>
            </w:pPr>
            <w:r w:rsidRPr="00FE09BF">
              <w:rPr>
                <w:noProof/>
                <w:sz w:val="24"/>
                <w:szCs w:val="24"/>
                <w:lang w:val="ro-RO" w:eastAsia="ro-RO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3810</wp:posOffset>
                  </wp:positionV>
                  <wp:extent cx="1457325" cy="295275"/>
                  <wp:effectExtent l="0" t="0" r="9525" b="9525"/>
                  <wp:wrapNone/>
                  <wp:docPr id="1213533738" name="Imagine 3" descr="A green and blac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A green and black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34" w:rsidRPr="00FE09BF" w:rsidRDefault="004A5134" w:rsidP="00995D8E">
            <w:pPr>
              <w:pStyle w:val="Header"/>
              <w:rPr>
                <w:b/>
                <w:sz w:val="24"/>
                <w:szCs w:val="24"/>
                <w:lang w:val="pt-BR"/>
              </w:rPr>
            </w:pPr>
            <w:r w:rsidRPr="00FE09BF">
              <w:rPr>
                <w:b/>
                <w:sz w:val="24"/>
                <w:szCs w:val="24"/>
                <w:lang w:val="pt-BR"/>
              </w:rPr>
              <w:t>OFICIUL FITOSANITAR MUREȘ</w:t>
            </w:r>
          </w:p>
          <w:p w:rsidR="004A5134" w:rsidRPr="00FE09BF" w:rsidRDefault="004A5134" w:rsidP="00995D8E">
            <w:pPr>
              <w:pStyle w:val="Header"/>
              <w:rPr>
                <w:sz w:val="24"/>
                <w:szCs w:val="24"/>
                <w:lang w:val="en-US"/>
              </w:rPr>
            </w:pPr>
            <w:r w:rsidRPr="00FE09BF">
              <w:rPr>
                <w:sz w:val="24"/>
                <w:szCs w:val="24"/>
                <w:lang w:val="pt-BR"/>
              </w:rPr>
              <w:t xml:space="preserve">Str. Dezrobirii, nr. 80, Tg. </w:t>
            </w:r>
            <w:proofErr w:type="spellStart"/>
            <w:r w:rsidRPr="00FE09BF">
              <w:rPr>
                <w:sz w:val="24"/>
                <w:szCs w:val="24"/>
                <w:lang w:val="en-US"/>
              </w:rPr>
              <w:t>Mureș</w:t>
            </w:r>
            <w:proofErr w:type="spellEnd"/>
            <w:r w:rsidRPr="00FE09B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09BF">
              <w:rPr>
                <w:sz w:val="24"/>
                <w:szCs w:val="24"/>
                <w:lang w:val="en-US"/>
              </w:rPr>
              <w:t>jud</w:t>
            </w:r>
            <w:proofErr w:type="spellEnd"/>
            <w:r w:rsidRPr="00FE09BF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E09BF">
              <w:rPr>
                <w:sz w:val="24"/>
                <w:szCs w:val="24"/>
                <w:lang w:val="en-US"/>
              </w:rPr>
              <w:t>Mureș</w:t>
            </w:r>
            <w:proofErr w:type="spellEnd"/>
            <w:r w:rsidRPr="00FE09BF">
              <w:rPr>
                <w:sz w:val="24"/>
                <w:szCs w:val="24"/>
                <w:lang w:val="en-US"/>
              </w:rPr>
              <w:t>, 540243</w:t>
            </w:r>
          </w:p>
          <w:p w:rsidR="004A5134" w:rsidRPr="00FE09BF" w:rsidRDefault="004A5134" w:rsidP="00995D8E">
            <w:pPr>
              <w:pStyle w:val="Header"/>
              <w:rPr>
                <w:sz w:val="24"/>
                <w:szCs w:val="24"/>
                <w:lang w:val="en-US"/>
              </w:rPr>
            </w:pPr>
            <w:r w:rsidRPr="00FE09BF">
              <w:rPr>
                <w:sz w:val="24"/>
                <w:szCs w:val="24"/>
                <w:lang w:val="en-US"/>
              </w:rPr>
              <w:t>Tel. 0265435245; 0787603984</w:t>
            </w:r>
          </w:p>
          <w:p w:rsidR="004A5134" w:rsidRPr="00FE09BF" w:rsidRDefault="004A5134" w:rsidP="00995D8E">
            <w:pPr>
              <w:pStyle w:val="Header"/>
              <w:rPr>
                <w:sz w:val="24"/>
                <w:szCs w:val="24"/>
                <w:lang w:val="pt-BR"/>
              </w:rPr>
            </w:pPr>
            <w:r w:rsidRPr="00FE09BF">
              <w:rPr>
                <w:sz w:val="24"/>
                <w:szCs w:val="24"/>
                <w:lang w:val="pt-BR"/>
              </w:rPr>
              <w:t xml:space="preserve">E-mail: </w:t>
            </w:r>
            <w:r w:rsidR="0033735A" w:rsidRPr="00FE09BF">
              <w:rPr>
                <w:sz w:val="24"/>
                <w:szCs w:val="24"/>
              </w:rPr>
              <w:fldChar w:fldCharType="begin"/>
            </w:r>
            <w:r w:rsidR="00D74C72" w:rsidRPr="00FE09BF">
              <w:rPr>
                <w:sz w:val="24"/>
                <w:szCs w:val="24"/>
              </w:rPr>
              <w:instrText>HYPERLINK "mailto:ofmures@anfof.ro"</w:instrText>
            </w:r>
            <w:r w:rsidR="0033735A" w:rsidRPr="00FE09BF">
              <w:rPr>
                <w:sz w:val="24"/>
                <w:szCs w:val="24"/>
              </w:rPr>
              <w:fldChar w:fldCharType="separate"/>
            </w:r>
            <w:r w:rsidRPr="00FE09BF">
              <w:rPr>
                <w:rStyle w:val="Hyperlink"/>
                <w:i/>
                <w:sz w:val="24"/>
                <w:szCs w:val="24"/>
                <w:lang w:val="pt-BR"/>
              </w:rPr>
              <w:t>ofmures@anfof.ro</w:t>
            </w:r>
            <w:r w:rsidR="0033735A" w:rsidRPr="00FE09BF">
              <w:rPr>
                <w:sz w:val="24"/>
                <w:szCs w:val="24"/>
              </w:rPr>
              <w:fldChar w:fldCharType="end"/>
            </w:r>
          </w:p>
        </w:tc>
      </w:tr>
    </w:tbl>
    <w:p w:rsidR="00124CCA" w:rsidRPr="00FE09BF" w:rsidRDefault="00007791" w:rsidP="00CE5360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FE09BF">
        <w:rPr>
          <w:rFonts w:ascii="Times New Roman" w:hAnsi="Times New Roman" w:cs="Times New Roman"/>
          <w:sz w:val="24"/>
          <w:szCs w:val="24"/>
          <w:lang w:val="ro-RO"/>
        </w:rPr>
        <w:t xml:space="preserve">         Nr. </w:t>
      </w:r>
      <w:r w:rsidR="004A5134" w:rsidRPr="00FE09BF">
        <w:rPr>
          <w:rFonts w:ascii="Times New Roman" w:hAnsi="Times New Roman" w:cs="Times New Roman"/>
          <w:sz w:val="24"/>
          <w:szCs w:val="24"/>
          <w:lang w:val="ro-RO"/>
        </w:rPr>
        <w:t>120</w:t>
      </w:r>
      <w:r w:rsidR="00CF72A4" w:rsidRPr="00FE09BF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0D774B" w:rsidRPr="00FE09BF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4A5134" w:rsidRPr="00FE09BF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CF72A4" w:rsidRPr="00FE09BF">
        <w:rPr>
          <w:rFonts w:ascii="Times New Roman" w:hAnsi="Times New Roman" w:cs="Times New Roman"/>
          <w:sz w:val="24"/>
          <w:szCs w:val="24"/>
          <w:lang w:val="ro-RO"/>
        </w:rPr>
        <w:t>.04.202</w:t>
      </w:r>
      <w:r w:rsidR="004A5134" w:rsidRPr="00FE09BF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:rsidR="00FE09BF" w:rsidRPr="00FE09BF" w:rsidRDefault="00CE5360" w:rsidP="00CE536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E09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BULETIN DE AVERTIZARE  </w:t>
      </w:r>
    </w:p>
    <w:p w:rsidR="00CE5360" w:rsidRPr="00FE09BF" w:rsidRDefault="00CE5360" w:rsidP="00CE536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E09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Nr. </w:t>
      </w:r>
      <w:r w:rsidR="004E6E6B" w:rsidRPr="00FE09BF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4A5134" w:rsidRPr="00FE09BF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FE09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/ </w:t>
      </w:r>
      <w:r w:rsidR="000D774B" w:rsidRPr="00FE09BF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4A5134" w:rsidRPr="00FE09BF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Pr="00FE09BF">
        <w:rPr>
          <w:rFonts w:ascii="Times New Roman" w:hAnsi="Times New Roman" w:cs="Times New Roman"/>
          <w:b/>
          <w:sz w:val="24"/>
          <w:szCs w:val="24"/>
          <w:lang w:val="ro-RO"/>
        </w:rPr>
        <w:t>.0</w:t>
      </w:r>
      <w:r w:rsidR="00DD3FAB" w:rsidRPr="00FE09BF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FE09BF">
        <w:rPr>
          <w:rFonts w:ascii="Times New Roman" w:hAnsi="Times New Roman" w:cs="Times New Roman"/>
          <w:b/>
          <w:sz w:val="24"/>
          <w:szCs w:val="24"/>
          <w:lang w:val="ro-RO"/>
        </w:rPr>
        <w:t>. 202</w:t>
      </w:r>
      <w:r w:rsidR="004A5134" w:rsidRPr="00FE09BF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</w:p>
    <w:p w:rsidR="00641178" w:rsidRPr="00FE09BF" w:rsidRDefault="00641178" w:rsidP="00CE536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068D" w:rsidRPr="00FE09BF" w:rsidRDefault="00102B40" w:rsidP="00CF6DE7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  <w:sectPr w:rsidR="008F068D" w:rsidRPr="00FE09BF" w:rsidSect="003433D0">
          <w:pgSz w:w="12240" w:h="15840"/>
          <w:pgMar w:top="144" w:right="288" w:bottom="288" w:left="1440" w:header="720" w:footer="720" w:gutter="0"/>
          <w:cols w:space="720"/>
          <w:docGrid w:linePitch="360"/>
        </w:sectPr>
      </w:pPr>
      <w:r w:rsidRPr="00FE09BF">
        <w:rPr>
          <w:rFonts w:ascii="Times New Roman" w:hAnsi="Times New Roman" w:cs="Times New Roman"/>
          <w:sz w:val="24"/>
          <w:szCs w:val="24"/>
          <w:lang w:val="ro-RO"/>
        </w:rPr>
        <w:t xml:space="preserve">Pentru prevenirea și combaterea </w:t>
      </w:r>
      <w:r w:rsidRPr="00FE09BF">
        <w:rPr>
          <w:rFonts w:ascii="Times New Roman" w:hAnsi="Times New Roman" w:cs="Times New Roman"/>
          <w:b/>
          <w:sz w:val="24"/>
          <w:szCs w:val="24"/>
          <w:lang w:val="ro-RO"/>
        </w:rPr>
        <w:t>g</w:t>
      </w:r>
      <w:r w:rsidR="00FE09BF">
        <w:rPr>
          <w:rFonts w:ascii="Times New Roman" w:hAnsi="Times New Roman" w:cs="Times New Roman"/>
          <w:b/>
          <w:sz w:val="24"/>
          <w:szCs w:val="24"/>
          <w:lang w:val="ro-RO"/>
        </w:rPr>
        <w:t>â</w:t>
      </w:r>
      <w:r w:rsidRPr="00FE09BF">
        <w:rPr>
          <w:rFonts w:ascii="Times New Roman" w:hAnsi="Times New Roman" w:cs="Times New Roman"/>
          <w:b/>
          <w:sz w:val="24"/>
          <w:szCs w:val="24"/>
          <w:lang w:val="ro-RO"/>
        </w:rPr>
        <w:t>ndacului lucios</w:t>
      </w:r>
      <w:r w:rsidR="004A5134" w:rsidRPr="00FE09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E09BF">
        <w:rPr>
          <w:rFonts w:ascii="Times New Roman" w:hAnsi="Times New Roman" w:cs="Times New Roman"/>
          <w:i/>
          <w:sz w:val="24"/>
          <w:szCs w:val="24"/>
          <w:lang w:val="ro-RO"/>
        </w:rPr>
        <w:t>(Meligethes aeneus),</w:t>
      </w:r>
      <w:r w:rsidR="00FE09BF" w:rsidRPr="00FE09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FE09BF">
        <w:rPr>
          <w:rFonts w:ascii="Times New Roman" w:hAnsi="Times New Roman" w:cs="Times New Roman"/>
          <w:b/>
          <w:sz w:val="24"/>
          <w:szCs w:val="24"/>
          <w:lang w:val="ro-RO"/>
        </w:rPr>
        <w:t>gărgărița semințelor</w:t>
      </w:r>
      <w:r w:rsidR="00FE09BF" w:rsidRPr="00FE09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E09BF">
        <w:rPr>
          <w:rFonts w:ascii="Times New Roman" w:hAnsi="Times New Roman" w:cs="Times New Roman"/>
          <w:i/>
          <w:sz w:val="24"/>
          <w:szCs w:val="24"/>
          <w:lang w:val="ro-RO"/>
        </w:rPr>
        <w:t>(Ceutorhynchus assimilis),</w:t>
      </w:r>
      <w:r w:rsidR="00FE09BF" w:rsidRPr="00FE09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FE09BF">
        <w:rPr>
          <w:rFonts w:ascii="Times New Roman" w:hAnsi="Times New Roman" w:cs="Times New Roman"/>
          <w:b/>
          <w:sz w:val="24"/>
          <w:szCs w:val="24"/>
          <w:lang w:val="ro-RO"/>
        </w:rPr>
        <w:t>țînțărașul galicol al silicvelor</w:t>
      </w:r>
      <w:r w:rsidR="00FE09BF" w:rsidRPr="00FE09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E09BF">
        <w:rPr>
          <w:rFonts w:ascii="Times New Roman" w:hAnsi="Times New Roman" w:cs="Times New Roman"/>
          <w:i/>
          <w:sz w:val="24"/>
          <w:szCs w:val="24"/>
          <w:lang w:val="ro-RO"/>
        </w:rPr>
        <w:t>(Dasyneura brassicae)</w:t>
      </w:r>
      <w:r w:rsidRPr="00FE09BF">
        <w:rPr>
          <w:rFonts w:ascii="Times New Roman" w:hAnsi="Times New Roman" w:cs="Times New Roman"/>
          <w:sz w:val="24"/>
          <w:szCs w:val="24"/>
          <w:lang w:val="ro-RO"/>
        </w:rPr>
        <w:t xml:space="preserve"> și altor dăunători din</w:t>
      </w:r>
      <w:r w:rsidR="00641178" w:rsidRPr="00FE09BF">
        <w:rPr>
          <w:rFonts w:ascii="Times New Roman" w:hAnsi="Times New Roman" w:cs="Times New Roman"/>
          <w:sz w:val="24"/>
          <w:szCs w:val="24"/>
          <w:lang w:val="ro-RO"/>
        </w:rPr>
        <w:t xml:space="preserve"> cultura</w:t>
      </w:r>
      <w:r w:rsidR="00662D1D" w:rsidRPr="00FE09BF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="0069307C" w:rsidRPr="00FE09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rapiță.</w:t>
      </w:r>
    </w:p>
    <w:p w:rsidR="00461843" w:rsidRPr="00FE09BF" w:rsidRDefault="00756B3A" w:rsidP="00CF6DE7">
      <w:pPr>
        <w:pStyle w:val="NormalWeb"/>
        <w:shd w:val="clear" w:color="auto" w:fill="F4F6F4"/>
        <w:spacing w:before="0" w:after="0"/>
        <w:ind w:firstLine="720"/>
        <w:jc w:val="both"/>
        <w:textAlignment w:val="baseline"/>
        <w:rPr>
          <w:shd w:val="clear" w:color="auto" w:fill="FFFFFF"/>
        </w:rPr>
      </w:pPr>
      <w:r w:rsidRPr="00FE09BF">
        <w:rPr>
          <w:b/>
          <w:lang w:val="pt-BR"/>
        </w:rPr>
        <w:lastRenderedPageBreak/>
        <w:t>Gândacul lucios</w:t>
      </w:r>
      <w:r w:rsidRPr="00FE09BF">
        <w:rPr>
          <w:lang w:val="pt-BR"/>
        </w:rPr>
        <w:t xml:space="preserve"> (</w:t>
      </w:r>
      <w:r w:rsidRPr="00FE09BF">
        <w:rPr>
          <w:i/>
          <w:lang w:val="pt-BR"/>
        </w:rPr>
        <w:t>Meligethes aeneus</w:t>
      </w:r>
      <w:r w:rsidR="00FB6D52" w:rsidRPr="00FE09BF">
        <w:rPr>
          <w:i/>
          <w:lang w:val="pt-BR"/>
        </w:rPr>
        <w:t>)</w:t>
      </w:r>
      <w:r w:rsidR="00CF72A4" w:rsidRPr="00FE09BF">
        <w:rPr>
          <w:lang w:val="pt-BR"/>
        </w:rPr>
        <w:t>–</w:t>
      </w:r>
      <w:r w:rsidR="002A6B5C" w:rsidRPr="00FE09BF">
        <w:rPr>
          <w:shd w:val="clear" w:color="auto" w:fill="FFFFFF"/>
          <w:lang w:val="pt-BR"/>
        </w:rPr>
        <w:t>E</w:t>
      </w:r>
      <w:r w:rsidR="00CF72A4" w:rsidRPr="00FE09BF">
        <w:rPr>
          <w:lang w:val="ro-RO" w:eastAsia="ro-RO"/>
        </w:rPr>
        <w:t>voluția</w:t>
      </w:r>
      <w:r w:rsidR="002A6B5C" w:rsidRPr="00FE09BF">
        <w:rPr>
          <w:lang w:val="ro-RO" w:eastAsia="ro-RO"/>
        </w:rPr>
        <w:t xml:space="preserve"> acestui dăunător</w:t>
      </w:r>
      <w:r w:rsidR="00CF72A4" w:rsidRPr="00FE09BF">
        <w:rPr>
          <w:lang w:val="ro-RO" w:eastAsia="ro-RO"/>
        </w:rPr>
        <w:t xml:space="preserve"> este influenţată de </w:t>
      </w:r>
      <w:r w:rsidR="002A6B5C" w:rsidRPr="00FE09BF">
        <w:rPr>
          <w:lang w:val="ro-RO" w:eastAsia="ro-RO"/>
        </w:rPr>
        <w:t>t</w:t>
      </w:r>
      <w:r w:rsidR="00CF72A4" w:rsidRPr="00FE09BF">
        <w:rPr>
          <w:lang w:val="ro-RO" w:eastAsia="ro-RO"/>
        </w:rPr>
        <w:t>emperatură. </w:t>
      </w:r>
      <w:r w:rsidR="00CF72A4" w:rsidRPr="00FE09BF">
        <w:rPr>
          <w:i/>
          <w:iCs/>
          <w:lang w:val="ro-RO" w:eastAsia="ro-RO"/>
        </w:rPr>
        <w:t>Meligethes</w:t>
      </w:r>
      <w:r w:rsidR="00E261BD" w:rsidRPr="00FE09BF">
        <w:rPr>
          <w:i/>
          <w:iCs/>
          <w:lang w:val="ro-RO" w:eastAsia="ro-RO"/>
        </w:rPr>
        <w:t xml:space="preserve"> a.</w:t>
      </w:r>
      <w:r w:rsidR="00CF72A4" w:rsidRPr="00FE09BF">
        <w:rPr>
          <w:i/>
          <w:iCs/>
          <w:lang w:val="ro-RO" w:eastAsia="ro-RO"/>
        </w:rPr>
        <w:t> </w:t>
      </w:r>
      <w:r w:rsidR="00CF72A4" w:rsidRPr="00FE09BF">
        <w:rPr>
          <w:lang w:val="ro-RO" w:eastAsia="ro-RO"/>
        </w:rPr>
        <w:t>îşi reia activitatea în primăvară</w:t>
      </w:r>
      <w:r w:rsidR="00136E50" w:rsidRPr="00FE09BF">
        <w:rPr>
          <w:lang w:val="ro-RO" w:eastAsia="ro-RO"/>
        </w:rPr>
        <w:t>,</w:t>
      </w:r>
      <w:r w:rsidR="00CF72A4" w:rsidRPr="00FE09BF">
        <w:rPr>
          <w:lang w:val="ro-RO" w:eastAsia="ro-RO"/>
        </w:rPr>
        <w:t xml:space="preserve">  câ</w:t>
      </w:r>
      <w:r w:rsidR="00E261BD" w:rsidRPr="00FE09BF">
        <w:rPr>
          <w:lang w:val="ro-RO" w:eastAsia="ro-RO"/>
        </w:rPr>
        <w:t>nd temperatura aerului depășește în</w:t>
      </w:r>
      <w:r w:rsidR="00CF72A4" w:rsidRPr="00FE09BF">
        <w:rPr>
          <w:lang w:val="ro-RO" w:eastAsia="ro-RO"/>
        </w:rPr>
        <w:t xml:space="preserve"> mod constant</w:t>
      </w:r>
      <w:r w:rsidR="00E261BD" w:rsidRPr="00FE09BF">
        <w:rPr>
          <w:lang w:val="ro-RO" w:eastAsia="ro-RO"/>
        </w:rPr>
        <w:t xml:space="preserve"> în medie</w:t>
      </w:r>
      <w:r w:rsidR="00CF72A4" w:rsidRPr="00FE09BF">
        <w:rPr>
          <w:lang w:val="ro-RO" w:eastAsia="ro-RO"/>
        </w:rPr>
        <w:t xml:space="preserve"> 6 – 10 °C. Gândacii nu vor fi însă observaţi pentru că rămân în zona în care au iernat</w:t>
      </w:r>
      <w:r w:rsidR="002A6B5C" w:rsidRPr="00FE09BF">
        <w:rPr>
          <w:lang w:val="ro-RO" w:eastAsia="ro-RO"/>
        </w:rPr>
        <w:t xml:space="preserve">. </w:t>
      </w:r>
      <w:r w:rsidR="00CF72A4" w:rsidRPr="00FE09BF">
        <w:rPr>
          <w:lang w:val="ro-RO" w:eastAsia="ro-RO"/>
        </w:rPr>
        <w:t>După o scurtă perioadă de hrănire, părăsesc zona de iernare</w:t>
      </w:r>
      <w:r w:rsidR="00E261BD" w:rsidRPr="00FE09BF">
        <w:rPr>
          <w:lang w:val="ro-RO" w:eastAsia="ro-RO"/>
        </w:rPr>
        <w:t xml:space="preserve"> și</w:t>
      </w:r>
      <w:r w:rsidR="00CF72A4" w:rsidRPr="00FE09BF">
        <w:rPr>
          <w:lang w:val="ro-RO" w:eastAsia="ro-RO"/>
        </w:rPr>
        <w:t xml:space="preserve"> migr</w:t>
      </w:r>
      <w:r w:rsidR="00E261BD" w:rsidRPr="00FE09BF">
        <w:rPr>
          <w:lang w:val="ro-RO" w:eastAsia="ro-RO"/>
        </w:rPr>
        <w:t xml:space="preserve">ează </w:t>
      </w:r>
      <w:r w:rsidR="00FE09BF">
        <w:rPr>
          <w:lang w:val="ro-RO" w:eastAsia="ro-RO"/>
        </w:rPr>
        <w:t>î</w:t>
      </w:r>
      <w:r w:rsidR="00E261BD" w:rsidRPr="00FE09BF">
        <w:rPr>
          <w:lang w:val="ro-RO" w:eastAsia="ro-RO"/>
        </w:rPr>
        <w:t>n culturile de rapiță</w:t>
      </w:r>
      <w:r w:rsidR="00CF72A4" w:rsidRPr="00FE09BF">
        <w:rPr>
          <w:lang w:val="ro-RO" w:eastAsia="ro-RO"/>
        </w:rPr>
        <w:t>. Vârfurile de zbor au loc atunci când temperatura depăşeşte 15°C. Meteorologic zilele de migraţie trebuie să fie călduroase şi uscate. Dacă survin temperaturi scăzute şi ploi, gandacul lucios se retrage în zonade confort.</w:t>
      </w:r>
      <w:r w:rsidR="00FE09BF">
        <w:rPr>
          <w:lang w:val="ro-RO" w:eastAsia="ro-RO"/>
        </w:rPr>
        <w:t xml:space="preserve"> </w:t>
      </w:r>
      <w:r w:rsidR="00CF72A4" w:rsidRPr="00FE09BF">
        <w:rPr>
          <w:lang w:val="ro-RO" w:eastAsia="ro-RO"/>
        </w:rPr>
        <w:t xml:space="preserve">Este important acest comportament vis a vis de temperatură şi precipitaţii pentru ca fermierul să aplice insecticidul atunci când adultul este în plin zbor. Doar aşa rata </w:t>
      </w:r>
      <w:r w:rsidR="00E261BD" w:rsidRPr="00FE09BF">
        <w:rPr>
          <w:lang w:val="ro-RO" w:eastAsia="ro-RO"/>
        </w:rPr>
        <w:t xml:space="preserve">de succes se va apropia de 100%. </w:t>
      </w:r>
      <w:r w:rsidR="00137606" w:rsidRPr="00FE09BF">
        <w:rPr>
          <w:shd w:val="clear" w:color="auto" w:fill="FFFFFF"/>
          <w:lang w:val="pt-BR"/>
        </w:rPr>
        <w:t xml:space="preserve">Adultul are corpul oval, de 1,5 - 1,7 mm </w:t>
      </w:r>
      <w:r w:rsidR="00EA6EAD" w:rsidRPr="00FE09BF">
        <w:rPr>
          <w:shd w:val="clear" w:color="auto" w:fill="FFFFFF"/>
          <w:lang w:val="pt-BR"/>
        </w:rPr>
        <w:t>lungime</w:t>
      </w:r>
      <w:r w:rsidR="00136E50" w:rsidRPr="00FE09BF">
        <w:rPr>
          <w:shd w:val="clear" w:color="auto" w:fill="FFFFFF"/>
          <w:lang w:val="pt-BR"/>
        </w:rPr>
        <w:t xml:space="preserve">, convex dorsal și plan </w:t>
      </w:r>
      <w:r w:rsidR="0069307C" w:rsidRPr="00FE09BF">
        <w:rPr>
          <w:shd w:val="clear" w:color="auto" w:fill="FFFFFF"/>
          <w:lang w:val="pt-BR"/>
        </w:rPr>
        <w:t>ventral, de culoare aramie sau albastruie, cu luciu metalic sau mat.</w:t>
      </w:r>
      <w:r w:rsidR="0069307C" w:rsidRPr="00FE09BF">
        <w:rPr>
          <w:spacing w:val="-2"/>
          <w:lang w:val="ro-RO" w:eastAsia="ro-RO"/>
        </w:rPr>
        <w:t>roade bobocii florali la exterior, iar la interior consumă staminele și pistilul.</w:t>
      </w:r>
      <w:r w:rsidR="0073598E">
        <w:rPr>
          <w:spacing w:val="-2"/>
          <w:lang w:val="ro-RO" w:eastAsia="ro-RO"/>
        </w:rPr>
        <w:t xml:space="preserve"> </w:t>
      </w:r>
      <w:r w:rsidR="0069307C" w:rsidRPr="00FE09BF">
        <w:rPr>
          <w:spacing w:val="-2"/>
          <w:lang w:val="ro-RO" w:eastAsia="ro-RO"/>
        </w:rPr>
        <w:t>Atacul său determină uscarea și</w:t>
      </w:r>
      <w:r w:rsidR="00FE09BF">
        <w:rPr>
          <w:spacing w:val="-2"/>
          <w:lang w:val="ro-RO" w:eastAsia="ro-RO"/>
        </w:rPr>
        <w:t xml:space="preserve"> </w:t>
      </w:r>
      <w:r w:rsidR="0069307C" w:rsidRPr="00FE09BF">
        <w:rPr>
          <w:spacing w:val="-2"/>
          <w:lang w:val="ro-RO" w:eastAsia="ro-RO"/>
        </w:rPr>
        <w:t>căderea</w:t>
      </w:r>
      <w:r w:rsidR="00FE09BF">
        <w:rPr>
          <w:spacing w:val="-2"/>
          <w:lang w:val="ro-RO" w:eastAsia="ro-RO"/>
        </w:rPr>
        <w:t xml:space="preserve"> </w:t>
      </w:r>
      <w:r w:rsidR="0074598E" w:rsidRPr="00FE09BF">
        <w:rPr>
          <w:spacing w:val="-2"/>
          <w:lang w:val="ro-RO" w:eastAsia="ro-RO"/>
        </w:rPr>
        <w:t>bobocilor. Bobocii care au suferit un atac redus</w:t>
      </w:r>
      <w:r w:rsidR="00FE09BF">
        <w:rPr>
          <w:spacing w:val="-2"/>
          <w:lang w:val="ro-RO" w:eastAsia="ro-RO"/>
        </w:rPr>
        <w:t xml:space="preserve"> </w:t>
      </w:r>
      <w:r w:rsidR="0074598E" w:rsidRPr="00FE09BF">
        <w:rPr>
          <w:spacing w:val="-2"/>
          <w:lang w:val="ro-RO" w:eastAsia="ro-RO"/>
        </w:rPr>
        <w:t>produc</w:t>
      </w:r>
    </w:p>
    <w:p w:rsidR="00461843" w:rsidRPr="00FE09BF" w:rsidRDefault="006E5906" w:rsidP="00CF6DE7">
      <w:pPr>
        <w:pStyle w:val="NormalWeb"/>
        <w:shd w:val="clear" w:color="auto" w:fill="F4F6F4"/>
        <w:spacing w:before="0" w:after="0"/>
        <w:jc w:val="both"/>
        <w:textAlignment w:val="baseline"/>
        <w:rPr>
          <w:lang w:val="ro-RO" w:eastAsia="ro-RO"/>
        </w:rPr>
        <w:sectPr w:rsidR="00461843" w:rsidRPr="00FE09BF" w:rsidSect="003433D0">
          <w:type w:val="continuous"/>
          <w:pgSz w:w="12240" w:h="15840"/>
          <w:pgMar w:top="144" w:right="288" w:bottom="288" w:left="1440" w:header="720" w:footer="720" w:gutter="0"/>
          <w:cols w:num="2" w:space="710" w:equalWidth="0">
            <w:col w:w="7774" w:space="142"/>
            <w:col w:w="2596"/>
          </w:cols>
          <w:docGrid w:linePitch="360"/>
        </w:sectPr>
      </w:pPr>
      <w:r w:rsidRPr="00FE09BF">
        <w:rPr>
          <w:noProof/>
          <w:lang w:val="ro-RO" w:eastAsia="ro-RO"/>
        </w:rPr>
        <w:lastRenderedPageBreak/>
        <w:drawing>
          <wp:inline distT="0" distB="0" distL="0" distR="0">
            <wp:extent cx="1753737" cy="1753737"/>
            <wp:effectExtent l="19050" t="0" r="0" b="0"/>
            <wp:docPr id="1" name="Imagine 1" descr="https://uknature.co.uk/beetles/M.aene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knature.co.uk/beetles/M.aeneu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01" cy="17576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61843" w:rsidRPr="00FE09BF" w:rsidRDefault="00461843" w:rsidP="00CF6DE7">
      <w:pPr>
        <w:pStyle w:val="NormalWeb"/>
        <w:shd w:val="clear" w:color="auto" w:fill="F4F6F4"/>
        <w:spacing w:before="0" w:after="0"/>
        <w:jc w:val="both"/>
        <w:textAlignment w:val="baseline"/>
        <w:rPr>
          <w:b/>
          <w:lang w:val="pt-BR"/>
        </w:rPr>
        <w:sectPr w:rsidR="00461843" w:rsidRPr="00FE09BF" w:rsidSect="003433D0">
          <w:type w:val="continuous"/>
          <w:pgSz w:w="12240" w:h="15840"/>
          <w:pgMar w:top="144" w:right="288" w:bottom="288" w:left="1440" w:header="720" w:footer="720" w:gutter="0"/>
          <w:cols w:space="720"/>
          <w:docGrid w:linePitch="360"/>
        </w:sectPr>
      </w:pPr>
      <w:r w:rsidRPr="00FE09BF">
        <w:rPr>
          <w:spacing w:val="-2"/>
          <w:lang w:val="ro-RO" w:eastAsia="ro-RO"/>
        </w:rPr>
        <w:lastRenderedPageBreak/>
        <w:t>silicve mici, subțiri și răsucit</w:t>
      </w:r>
      <w:r w:rsidR="00EA6EAD" w:rsidRPr="00FE09BF">
        <w:rPr>
          <w:spacing w:val="-2"/>
          <w:lang w:val="ro-RO" w:eastAsia="ro-RO"/>
        </w:rPr>
        <w:t>e la vârf. Femela</w:t>
      </w:r>
      <w:r w:rsidRPr="00FE09BF">
        <w:rPr>
          <w:spacing w:val="-2"/>
          <w:lang w:val="ro-RO" w:eastAsia="ro-RO"/>
        </w:rPr>
        <w:t xml:space="preserve"> roade bobocul floral și depune 1-2  ou</w:t>
      </w:r>
      <w:r w:rsidR="00EA6EAD" w:rsidRPr="00FE09BF">
        <w:rPr>
          <w:spacing w:val="-2"/>
          <w:lang w:val="ro-RO" w:eastAsia="ro-RO"/>
        </w:rPr>
        <w:t>ă pe stamine. Î</w:t>
      </w:r>
      <w:r w:rsidRPr="00FE09BF">
        <w:rPr>
          <w:spacing w:val="-2"/>
          <w:lang w:val="ro-RO" w:eastAsia="ro-RO"/>
        </w:rPr>
        <w:t>ntr-un singur boboc floral se pot regăsi până la 15 ouă, depuse de femele diferite.</w:t>
      </w:r>
      <w:r w:rsidRPr="00FE09BF">
        <w:rPr>
          <w:lang w:val="ro-RO" w:eastAsia="ro-RO"/>
        </w:rPr>
        <w:t xml:space="preserve"> </w:t>
      </w:r>
      <w:r w:rsidR="00FE09BF">
        <w:rPr>
          <w:lang w:val="ro-RO" w:eastAsia="ro-RO"/>
        </w:rPr>
        <w:t>O</w:t>
      </w:r>
      <w:r w:rsidRPr="00FE09BF">
        <w:rPr>
          <w:lang w:val="ro-RO" w:eastAsia="ro-RO"/>
        </w:rPr>
        <w:t xml:space="preserve"> femel</w:t>
      </w:r>
      <w:r w:rsidR="00FE09BF">
        <w:rPr>
          <w:lang w:val="ro-RO" w:eastAsia="ro-RO"/>
        </w:rPr>
        <w:t>ă</w:t>
      </w:r>
      <w:r w:rsidRPr="00FE09BF">
        <w:rPr>
          <w:lang w:val="ro-RO" w:eastAsia="ro-RO"/>
        </w:rPr>
        <w:t xml:space="preserve"> poate depune 300-400 ou</w:t>
      </w:r>
      <w:r w:rsidR="00FE09BF">
        <w:rPr>
          <w:lang w:val="ro-RO" w:eastAsia="ro-RO"/>
        </w:rPr>
        <w:t>ă</w:t>
      </w:r>
      <w:r w:rsidRPr="00FE09BF">
        <w:rPr>
          <w:lang w:val="ro-RO" w:eastAsia="ro-RO"/>
        </w:rPr>
        <w:t>. Incuba</w:t>
      </w:r>
      <w:r w:rsidR="00244C19">
        <w:rPr>
          <w:lang w:val="ro-RO" w:eastAsia="ro-RO"/>
        </w:rPr>
        <w:t>ț</w:t>
      </w:r>
      <w:r w:rsidRPr="00FE09BF">
        <w:rPr>
          <w:lang w:val="ro-RO" w:eastAsia="ro-RO"/>
        </w:rPr>
        <w:t>ia dureaza 4-14 zile.  Prezinta o generatie pe an. Larvele se hranesc cu organele florale. Stadiul larvar dureaza 3-4 s</w:t>
      </w:r>
      <w:r w:rsidR="00FE09BF">
        <w:rPr>
          <w:lang w:val="ro-RO" w:eastAsia="ro-RO"/>
        </w:rPr>
        <w:t>ă</w:t>
      </w:r>
      <w:r w:rsidRPr="00FE09BF">
        <w:rPr>
          <w:lang w:val="ro-RO" w:eastAsia="ro-RO"/>
        </w:rPr>
        <w:t>ptam</w:t>
      </w:r>
      <w:r w:rsidR="00FE09BF">
        <w:rPr>
          <w:lang w:val="ro-RO" w:eastAsia="ro-RO"/>
        </w:rPr>
        <w:t>â</w:t>
      </w:r>
      <w:r w:rsidRPr="00FE09BF">
        <w:rPr>
          <w:lang w:val="ro-RO" w:eastAsia="ro-RO"/>
        </w:rPr>
        <w:t xml:space="preserve">ni, dupa care larva coboara </w:t>
      </w:r>
      <w:r w:rsidR="00FE09BF">
        <w:rPr>
          <w:lang w:val="ro-RO" w:eastAsia="ro-RO"/>
        </w:rPr>
        <w:t>î</w:t>
      </w:r>
      <w:r w:rsidRPr="00FE09BF">
        <w:rPr>
          <w:lang w:val="ro-RO" w:eastAsia="ro-RO"/>
        </w:rPr>
        <w:t>n sol la 2-4 cm a</w:t>
      </w:r>
      <w:r w:rsidR="00FE09BF">
        <w:rPr>
          <w:lang w:val="ro-RO" w:eastAsia="ro-RO"/>
        </w:rPr>
        <w:t>dancime ș</w:t>
      </w:r>
      <w:r w:rsidR="00191832" w:rsidRPr="00FE09BF">
        <w:rPr>
          <w:lang w:val="ro-RO" w:eastAsia="ro-RO"/>
        </w:rPr>
        <w:t>i se impupează</w:t>
      </w:r>
      <w:r w:rsidR="00FE09BF">
        <w:rPr>
          <w:lang w:val="ro-RO" w:eastAsia="ro-RO"/>
        </w:rPr>
        <w:t>. Î</w:t>
      </w:r>
      <w:r w:rsidRPr="00FE09BF">
        <w:rPr>
          <w:lang w:val="ro-RO" w:eastAsia="ro-RO"/>
        </w:rPr>
        <w:t>n cursul lunilor iunie-iulie apar adul</w:t>
      </w:r>
      <w:r w:rsidR="00FE09BF">
        <w:rPr>
          <w:lang w:val="ro-RO" w:eastAsia="ro-RO"/>
        </w:rPr>
        <w:t>ț</w:t>
      </w:r>
      <w:r w:rsidRPr="00FE09BF">
        <w:rPr>
          <w:lang w:val="ro-RO" w:eastAsia="ro-RO"/>
        </w:rPr>
        <w:t>ii din noua genera</w:t>
      </w:r>
      <w:r w:rsidR="00FE09BF">
        <w:rPr>
          <w:lang w:val="ro-RO" w:eastAsia="ro-RO"/>
        </w:rPr>
        <w:t>ț</w:t>
      </w:r>
      <w:r w:rsidRPr="00FE09BF">
        <w:rPr>
          <w:lang w:val="ro-RO" w:eastAsia="ro-RO"/>
        </w:rPr>
        <w:t>ie, care dupa o perioad</w:t>
      </w:r>
      <w:r w:rsidR="00FE09BF">
        <w:rPr>
          <w:lang w:val="ro-RO" w:eastAsia="ro-RO"/>
        </w:rPr>
        <w:t>ă</w:t>
      </w:r>
      <w:r w:rsidRPr="00FE09BF">
        <w:rPr>
          <w:lang w:val="ro-RO" w:eastAsia="ro-RO"/>
        </w:rPr>
        <w:t xml:space="preserve"> de hr</w:t>
      </w:r>
      <w:r w:rsidR="00244C19">
        <w:rPr>
          <w:lang w:val="ro-RO" w:eastAsia="ro-RO"/>
        </w:rPr>
        <w:t>ă</w:t>
      </w:r>
      <w:r w:rsidRPr="00FE09BF">
        <w:rPr>
          <w:lang w:val="ro-RO" w:eastAsia="ro-RO"/>
        </w:rPr>
        <w:t>nire de cateva s</w:t>
      </w:r>
      <w:r w:rsidR="00FE09BF">
        <w:rPr>
          <w:lang w:val="ro-RO" w:eastAsia="ro-RO"/>
        </w:rPr>
        <w:t>ă</w:t>
      </w:r>
      <w:r w:rsidRPr="00FE09BF">
        <w:rPr>
          <w:lang w:val="ro-RO" w:eastAsia="ro-RO"/>
        </w:rPr>
        <w:t>pt</w:t>
      </w:r>
      <w:r w:rsidR="00FE09BF">
        <w:rPr>
          <w:lang w:val="ro-RO" w:eastAsia="ro-RO"/>
        </w:rPr>
        <w:t>ă</w:t>
      </w:r>
      <w:r w:rsidRPr="00FE09BF">
        <w:rPr>
          <w:lang w:val="ro-RO" w:eastAsia="ro-RO"/>
        </w:rPr>
        <w:t>m</w:t>
      </w:r>
      <w:r w:rsidR="00FE09BF">
        <w:rPr>
          <w:lang w:val="ro-RO" w:eastAsia="ro-RO"/>
        </w:rPr>
        <w:t>â</w:t>
      </w:r>
      <w:r w:rsidRPr="00FE09BF">
        <w:rPr>
          <w:lang w:val="ro-RO" w:eastAsia="ro-RO"/>
        </w:rPr>
        <w:t xml:space="preserve">ni se retrag pentru hibernare.  </w:t>
      </w:r>
      <w:r w:rsidRPr="00FE09BF">
        <w:rPr>
          <w:b/>
          <w:lang w:val="pt-BR"/>
        </w:rPr>
        <w:tab/>
      </w:r>
    </w:p>
    <w:p w:rsidR="00CF6DE7" w:rsidRDefault="00CF6DE7" w:rsidP="00CF6DE7">
      <w:pPr>
        <w:pStyle w:val="NormalWeb"/>
        <w:shd w:val="clear" w:color="auto" w:fill="F4F6F4"/>
        <w:spacing w:before="0" w:after="0"/>
        <w:jc w:val="both"/>
        <w:textAlignment w:val="baseline"/>
        <w:rPr>
          <w:b/>
        </w:rPr>
        <w:sectPr w:rsidR="00CF6DE7" w:rsidSect="003433D0">
          <w:type w:val="continuous"/>
          <w:pgSz w:w="12240" w:h="15840"/>
          <w:pgMar w:top="144" w:right="288" w:bottom="288" w:left="1440" w:header="720" w:footer="720" w:gutter="0"/>
          <w:cols w:num="2" w:space="710" w:equalWidth="0">
            <w:col w:w="3096" w:space="142"/>
            <w:col w:w="7274"/>
          </w:cols>
          <w:docGrid w:linePitch="360"/>
        </w:sectPr>
      </w:pPr>
      <w:r w:rsidRPr="00FE09BF">
        <w:rPr>
          <w:noProof/>
          <w:lang w:val="ro-RO" w:eastAsia="ro-RO"/>
        </w:rPr>
        <w:lastRenderedPageBreak/>
        <w:drawing>
          <wp:inline distT="0" distB="0" distL="0" distR="0">
            <wp:extent cx="1868272" cy="950976"/>
            <wp:effectExtent l="19050" t="0" r="0" b="0"/>
            <wp:docPr id="3" name="Imagine 10" descr="Larva of Ceutorhynchus Napi Cabbage Stem Weevil. Stock Image - Image of  flower, larvae: 213440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rva of Ceutorhynchus Napi Cabbage Stem Weevil. Stock Image - Image of  flower, larvae: 2134408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272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57F2" w:rsidRPr="00FE09BF">
        <w:rPr>
          <w:noProof/>
          <w:lang w:val="ro-RO" w:eastAsia="ro-RO"/>
        </w:rPr>
        <w:drawing>
          <wp:inline distT="0" distB="0" distL="0" distR="0">
            <wp:extent cx="1926793" cy="950001"/>
            <wp:effectExtent l="19050" t="0" r="0" b="0"/>
            <wp:docPr id="4" name="Imagine 4" descr="Gărgăriţa seminţelor de crucifere – GLISS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ărgăriţa seminţelor de crucifere – GLISSAND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095" cy="95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DE7" w:rsidRDefault="00CF6DE7" w:rsidP="00CF6DE7">
      <w:pPr>
        <w:pStyle w:val="NormalWeb"/>
        <w:shd w:val="clear" w:color="auto" w:fill="F4F6F4"/>
        <w:spacing w:before="0" w:after="0"/>
        <w:jc w:val="both"/>
        <w:textAlignment w:val="baseline"/>
        <w:rPr>
          <w:b/>
        </w:rPr>
        <w:sectPr w:rsidR="00CF6DE7" w:rsidSect="00CF6DE7">
          <w:type w:val="continuous"/>
          <w:pgSz w:w="12240" w:h="15840"/>
          <w:pgMar w:top="144" w:right="288" w:bottom="288" w:left="1440" w:header="720" w:footer="720" w:gutter="0"/>
          <w:cols w:space="142"/>
          <w:docGrid w:linePitch="360"/>
        </w:sectPr>
      </w:pPr>
    </w:p>
    <w:p w:rsidR="006257F2" w:rsidRPr="00FE09BF" w:rsidRDefault="006257F2" w:rsidP="00CF6DE7">
      <w:pPr>
        <w:pStyle w:val="NormalWeb"/>
        <w:shd w:val="clear" w:color="auto" w:fill="F4F6F4"/>
        <w:spacing w:before="0" w:after="0"/>
        <w:jc w:val="both"/>
        <w:textAlignment w:val="baseline"/>
        <w:rPr>
          <w:b/>
        </w:rPr>
      </w:pPr>
    </w:p>
    <w:p w:rsidR="00CF6DE7" w:rsidRDefault="00CF6DE7" w:rsidP="00CF6DE7">
      <w:pPr>
        <w:pStyle w:val="NormalWeb"/>
        <w:shd w:val="clear" w:color="auto" w:fill="F4F6F4"/>
        <w:spacing w:before="0" w:after="0"/>
        <w:ind w:firstLine="720"/>
        <w:jc w:val="both"/>
        <w:textAlignment w:val="baseline"/>
        <w:rPr>
          <w:b/>
          <w:lang w:val="pt-BR"/>
        </w:rPr>
        <w:sectPr w:rsidR="00CF6DE7" w:rsidSect="003433D0">
          <w:type w:val="continuous"/>
          <w:pgSz w:w="12240" w:h="15840"/>
          <w:pgMar w:top="144" w:right="288" w:bottom="288" w:left="1440" w:header="720" w:footer="720" w:gutter="0"/>
          <w:cols w:num="2" w:space="710" w:equalWidth="0">
            <w:col w:w="3096" w:space="142"/>
            <w:col w:w="7274"/>
          </w:cols>
          <w:docGrid w:linePitch="360"/>
        </w:sectPr>
      </w:pPr>
    </w:p>
    <w:p w:rsidR="00461843" w:rsidRPr="00FE09BF" w:rsidRDefault="00507793" w:rsidP="00CF6DE7">
      <w:pPr>
        <w:pStyle w:val="NormalWeb"/>
        <w:shd w:val="clear" w:color="auto" w:fill="F4F6F4"/>
        <w:spacing w:before="0" w:after="0"/>
        <w:ind w:firstLine="720"/>
        <w:jc w:val="both"/>
        <w:textAlignment w:val="baseline"/>
        <w:rPr>
          <w:lang w:val="ro-RO" w:eastAsia="ro-RO"/>
        </w:rPr>
        <w:sectPr w:rsidR="00461843" w:rsidRPr="00FE09BF" w:rsidSect="00CF6DE7">
          <w:type w:val="continuous"/>
          <w:pgSz w:w="12240" w:h="15840"/>
          <w:pgMar w:top="144" w:right="288" w:bottom="288" w:left="1440" w:header="720" w:footer="720" w:gutter="0"/>
          <w:cols w:space="142"/>
          <w:docGrid w:linePitch="360"/>
        </w:sectPr>
      </w:pPr>
      <w:r w:rsidRPr="00FE09BF">
        <w:rPr>
          <w:b/>
          <w:lang w:val="pt-BR"/>
        </w:rPr>
        <w:lastRenderedPageBreak/>
        <w:t>Gărgărița semințelor</w:t>
      </w:r>
      <w:r w:rsidR="00410D27" w:rsidRPr="00FE09BF">
        <w:rPr>
          <w:b/>
          <w:lang w:val="pt-BR"/>
        </w:rPr>
        <w:t xml:space="preserve"> de crucifere</w:t>
      </w:r>
      <w:r w:rsidR="00FB6D52" w:rsidRPr="00FE09BF">
        <w:rPr>
          <w:i/>
          <w:lang w:val="pt-BR"/>
        </w:rPr>
        <w:t>(</w:t>
      </w:r>
      <w:r w:rsidRPr="00FE09BF">
        <w:rPr>
          <w:i/>
          <w:lang w:val="pt-BR"/>
        </w:rPr>
        <w:t>Ceutorhynchus assimilis)</w:t>
      </w:r>
      <w:r w:rsidR="00CF6DE7">
        <w:rPr>
          <w:i/>
          <w:lang w:val="pt-BR"/>
        </w:rPr>
        <w:t xml:space="preserve"> </w:t>
      </w:r>
      <w:r w:rsidR="00410D27" w:rsidRPr="00FE09BF">
        <w:rPr>
          <w:lang w:val="ro-RO" w:eastAsia="ro-RO"/>
        </w:rPr>
        <w:t xml:space="preserve">se intâlneste </w:t>
      </w:r>
      <w:r w:rsidR="00CF6DE7">
        <w:rPr>
          <w:lang w:val="ro-RO" w:eastAsia="ro-RO"/>
        </w:rPr>
        <w:t>î</w:t>
      </w:r>
      <w:r w:rsidR="00410D27" w:rsidRPr="00FE09BF">
        <w:rPr>
          <w:lang w:val="ro-RO" w:eastAsia="ro-RO"/>
        </w:rPr>
        <w:t xml:space="preserve">n toate </w:t>
      </w:r>
      <w:r w:rsidR="00244C19">
        <w:rPr>
          <w:lang w:val="ro-RO" w:eastAsia="ro-RO"/>
        </w:rPr>
        <w:t xml:space="preserve">    </w:t>
      </w:r>
      <w:r w:rsidR="00410D27" w:rsidRPr="00FE09BF">
        <w:rPr>
          <w:lang w:val="ro-RO" w:eastAsia="ro-RO"/>
        </w:rPr>
        <w:t>zonele</w:t>
      </w:r>
      <w:r w:rsidR="00244C19">
        <w:rPr>
          <w:lang w:val="ro-RO" w:eastAsia="ro-RO"/>
        </w:rPr>
        <w:t xml:space="preserve"> </w:t>
      </w:r>
      <w:r w:rsidR="00410D27" w:rsidRPr="00FE09BF">
        <w:rPr>
          <w:lang w:val="ro-RO" w:eastAsia="ro-RO"/>
        </w:rPr>
        <w:t xml:space="preserve"> cultivatoare de rapita. Adultul are corpul de culoare neagr</w:t>
      </w:r>
      <w:r w:rsidR="00191832" w:rsidRPr="00FE09BF">
        <w:rPr>
          <w:lang w:val="ro-RO" w:eastAsia="ro-RO"/>
        </w:rPr>
        <w:t>ă</w:t>
      </w:r>
      <w:r w:rsidR="00410D27" w:rsidRPr="00FE09BF">
        <w:rPr>
          <w:lang w:val="ro-RO" w:eastAsia="ro-RO"/>
        </w:rPr>
        <w:t xml:space="preserve">, acoperit cu perisori </w:t>
      </w:r>
      <w:r w:rsidR="00CF6DE7">
        <w:rPr>
          <w:lang w:val="ro-RO" w:eastAsia="ro-RO"/>
        </w:rPr>
        <w:t>ș</w:t>
      </w:r>
      <w:r w:rsidR="00410D27" w:rsidRPr="00FE09BF">
        <w:rPr>
          <w:lang w:val="ro-RO" w:eastAsia="ro-RO"/>
        </w:rPr>
        <w:t>i solzi cenusii. Lungimea este de 2-2,8 mm. Pronotul prezinta c</w:t>
      </w:r>
      <w:r w:rsidR="00191832" w:rsidRPr="00FE09BF">
        <w:rPr>
          <w:lang w:val="ro-RO" w:eastAsia="ro-RO"/>
        </w:rPr>
        <w:t>â</w:t>
      </w:r>
      <w:r w:rsidR="00410D27" w:rsidRPr="00FE09BF">
        <w:rPr>
          <w:lang w:val="ro-RO" w:eastAsia="ro-RO"/>
        </w:rPr>
        <w:t xml:space="preserve">te un tubercul evident, care se gaseste </w:t>
      </w:r>
      <w:r w:rsidR="00CF6DE7">
        <w:rPr>
          <w:lang w:val="ro-RO" w:eastAsia="ro-RO"/>
        </w:rPr>
        <w:t>î</w:t>
      </w:r>
      <w:r w:rsidR="00410D27" w:rsidRPr="00FE09BF">
        <w:rPr>
          <w:lang w:val="ro-RO" w:eastAsia="ro-RO"/>
        </w:rPr>
        <w:t>ntr-o pozi</w:t>
      </w:r>
      <w:r w:rsidR="00CF6DE7">
        <w:rPr>
          <w:lang w:val="ro-RO" w:eastAsia="ro-RO"/>
        </w:rPr>
        <w:t>ț</w:t>
      </w:r>
      <w:r w:rsidR="00410D27" w:rsidRPr="00FE09BF">
        <w:rPr>
          <w:lang w:val="ro-RO" w:eastAsia="ro-RO"/>
        </w:rPr>
        <w:t>ie u</w:t>
      </w:r>
      <w:r w:rsidR="00CF6DE7">
        <w:rPr>
          <w:lang w:val="ro-RO" w:eastAsia="ro-RO"/>
        </w:rPr>
        <w:t>ș</w:t>
      </w:r>
      <w:r w:rsidR="00410D27" w:rsidRPr="00FE09BF">
        <w:rPr>
          <w:lang w:val="ro-RO" w:eastAsia="ro-RO"/>
        </w:rPr>
        <w:t>or transversal</w:t>
      </w:r>
      <w:r w:rsidR="00F0463C" w:rsidRPr="00FE09BF">
        <w:rPr>
          <w:lang w:val="ro-RO" w:eastAsia="ro-RO"/>
        </w:rPr>
        <w:t>ă</w:t>
      </w:r>
      <w:r w:rsidR="00410D27" w:rsidRPr="00FE09BF">
        <w:rPr>
          <w:lang w:val="ro-RO" w:eastAsia="ro-RO"/>
        </w:rPr>
        <w:t>. Larva este de tip curculionid. Corpul este curbat, de 3-5 mm lungime, de culoare alba. Capsula cefalic</w:t>
      </w:r>
      <w:r w:rsidR="00CF6DE7">
        <w:rPr>
          <w:lang w:val="ro-RO" w:eastAsia="ro-RO"/>
        </w:rPr>
        <w:t>ă</w:t>
      </w:r>
      <w:r w:rsidR="00410D27" w:rsidRPr="00FE09BF">
        <w:rPr>
          <w:lang w:val="ro-RO" w:eastAsia="ro-RO"/>
        </w:rPr>
        <w:t xml:space="preserve"> este brun</w:t>
      </w:r>
      <w:r w:rsidR="00191832" w:rsidRPr="00FE09BF">
        <w:rPr>
          <w:lang w:val="ro-RO" w:eastAsia="ro-RO"/>
        </w:rPr>
        <w:t>ă</w:t>
      </w:r>
      <w:r w:rsidR="00410D27" w:rsidRPr="00FE09BF">
        <w:rPr>
          <w:lang w:val="ro-RO" w:eastAsia="ro-RO"/>
        </w:rPr>
        <w:t xml:space="preserve">. Ierneaza ca adult </w:t>
      </w:r>
      <w:r w:rsidR="00CF6DE7">
        <w:rPr>
          <w:lang w:val="ro-RO" w:eastAsia="ro-RO"/>
        </w:rPr>
        <w:t>î</w:t>
      </w:r>
      <w:r w:rsidR="00410D27" w:rsidRPr="00FE09BF">
        <w:rPr>
          <w:lang w:val="ro-RO" w:eastAsia="ro-RO"/>
        </w:rPr>
        <w:t>n stratul superficial al solului. Primavara p</w:t>
      </w:r>
      <w:r w:rsidR="00CF6DE7">
        <w:rPr>
          <w:lang w:val="ro-RO" w:eastAsia="ro-RO"/>
        </w:rPr>
        <w:t>ă</w:t>
      </w:r>
      <w:r w:rsidR="00410D27" w:rsidRPr="00FE09BF">
        <w:rPr>
          <w:lang w:val="ro-RO" w:eastAsia="ro-RO"/>
        </w:rPr>
        <w:t>r</w:t>
      </w:r>
      <w:r w:rsidR="00CF6DE7">
        <w:rPr>
          <w:lang w:val="ro-RO" w:eastAsia="ro-RO"/>
        </w:rPr>
        <w:t>ă</w:t>
      </w:r>
      <w:r w:rsidR="00410D27" w:rsidRPr="00FE09BF">
        <w:rPr>
          <w:lang w:val="ro-RO" w:eastAsia="ro-RO"/>
        </w:rPr>
        <w:t xml:space="preserve">sesc locul de hibernare </w:t>
      </w:r>
      <w:r w:rsidR="00CF6DE7">
        <w:rPr>
          <w:lang w:val="ro-RO" w:eastAsia="ro-RO"/>
        </w:rPr>
        <w:t>ș</w:t>
      </w:r>
      <w:r w:rsidR="00410D27" w:rsidRPr="00FE09BF">
        <w:rPr>
          <w:lang w:val="ro-RO" w:eastAsia="ro-RO"/>
        </w:rPr>
        <w:t xml:space="preserve">i migreaza pe cruciferele spontane </w:t>
      </w:r>
      <w:r w:rsidR="00CF6DE7">
        <w:rPr>
          <w:lang w:val="ro-RO" w:eastAsia="ro-RO"/>
        </w:rPr>
        <w:t>ș</w:t>
      </w:r>
      <w:r w:rsidR="00410D27" w:rsidRPr="00FE09BF">
        <w:rPr>
          <w:lang w:val="ro-RO" w:eastAsia="ro-RO"/>
        </w:rPr>
        <w:t>i apoi pe culturile de crucifere. După o perioadă de 40-70 zile de hr</w:t>
      </w:r>
      <w:r w:rsidR="00CF6DE7">
        <w:rPr>
          <w:lang w:val="ro-RO" w:eastAsia="ro-RO"/>
        </w:rPr>
        <w:t>ă</w:t>
      </w:r>
      <w:r w:rsidR="00410D27" w:rsidRPr="00FE09BF">
        <w:rPr>
          <w:lang w:val="ro-RO" w:eastAsia="ro-RO"/>
        </w:rPr>
        <w:t>nire, are loc copula</w:t>
      </w:r>
      <w:r w:rsidR="00CF6DE7">
        <w:rPr>
          <w:lang w:val="ro-RO" w:eastAsia="ro-RO"/>
        </w:rPr>
        <w:t>ț</w:t>
      </w:r>
      <w:r w:rsidR="00410D27" w:rsidRPr="00FE09BF">
        <w:rPr>
          <w:lang w:val="ro-RO" w:eastAsia="ro-RO"/>
        </w:rPr>
        <w:t xml:space="preserve">ia </w:t>
      </w:r>
      <w:r w:rsidR="00CF6DE7">
        <w:rPr>
          <w:lang w:val="ro-RO" w:eastAsia="ro-RO"/>
        </w:rPr>
        <w:t>ș</w:t>
      </w:r>
      <w:r w:rsidR="00410D27" w:rsidRPr="00FE09BF">
        <w:rPr>
          <w:lang w:val="ro-RO" w:eastAsia="ro-RO"/>
        </w:rPr>
        <w:t>i apoi</w:t>
      </w:r>
      <w:r w:rsidR="00191832" w:rsidRPr="00FE09BF">
        <w:rPr>
          <w:lang w:val="ro-RO" w:eastAsia="ro-RO"/>
        </w:rPr>
        <w:t xml:space="preserve"> ponta.O</w:t>
      </w:r>
      <w:r w:rsidR="00410D27" w:rsidRPr="00FE09BF">
        <w:rPr>
          <w:lang w:val="ro-RO" w:eastAsia="ro-RO"/>
        </w:rPr>
        <w:t>u</w:t>
      </w:r>
      <w:r w:rsidR="00191832" w:rsidRPr="00FE09BF">
        <w:rPr>
          <w:lang w:val="ro-RO" w:eastAsia="ro-RO"/>
        </w:rPr>
        <w:t>ă</w:t>
      </w:r>
      <w:r w:rsidR="00410D27" w:rsidRPr="00FE09BF">
        <w:rPr>
          <w:lang w:val="ro-RO" w:eastAsia="ro-RO"/>
        </w:rPr>
        <w:t>l</w:t>
      </w:r>
      <w:r w:rsidR="00191832" w:rsidRPr="00FE09BF">
        <w:rPr>
          <w:lang w:val="ro-RO" w:eastAsia="ro-RO"/>
        </w:rPr>
        <w:t>e sunt depuse</w:t>
      </w:r>
      <w:r w:rsidR="00CF6DE7">
        <w:rPr>
          <w:lang w:val="ro-RO" w:eastAsia="ro-RO"/>
        </w:rPr>
        <w:t xml:space="preserve"> î</w:t>
      </w:r>
      <w:r w:rsidR="00191832" w:rsidRPr="00FE09BF">
        <w:rPr>
          <w:lang w:val="ro-RO" w:eastAsia="ro-RO"/>
        </w:rPr>
        <w:t>n silicve</w:t>
      </w:r>
      <w:r w:rsidR="00410D27" w:rsidRPr="00FE09BF">
        <w:rPr>
          <w:lang w:val="ro-RO" w:eastAsia="ro-RO"/>
        </w:rPr>
        <w:t xml:space="preserve">. Femela roade un orificiu </w:t>
      </w:r>
      <w:r w:rsidR="00CF6DE7">
        <w:rPr>
          <w:lang w:val="ro-RO" w:eastAsia="ro-RO"/>
        </w:rPr>
        <w:t>î</w:t>
      </w:r>
      <w:r w:rsidR="00410D27" w:rsidRPr="00FE09BF">
        <w:rPr>
          <w:lang w:val="ro-RO" w:eastAsia="ro-RO"/>
        </w:rPr>
        <w:t xml:space="preserve">n peretele silicvei </w:t>
      </w:r>
      <w:r w:rsidR="00CF6DE7">
        <w:rPr>
          <w:lang w:val="ro-RO" w:eastAsia="ro-RO"/>
        </w:rPr>
        <w:t>ș</w:t>
      </w:r>
      <w:r w:rsidR="00410D27" w:rsidRPr="00FE09BF">
        <w:rPr>
          <w:lang w:val="ro-RO" w:eastAsia="ro-RO"/>
        </w:rPr>
        <w:t xml:space="preserve">i </w:t>
      </w:r>
      <w:r w:rsidR="00CF6DE7">
        <w:rPr>
          <w:lang w:val="ro-RO" w:eastAsia="ro-RO"/>
        </w:rPr>
        <w:t>î</w:t>
      </w:r>
      <w:r w:rsidR="00410D27" w:rsidRPr="00FE09BF">
        <w:rPr>
          <w:lang w:val="ro-RO" w:eastAsia="ro-RO"/>
        </w:rPr>
        <w:t>n fiecare orificiu ros depune un ou. O femela depune 35-50 oua. Incuba</w:t>
      </w:r>
      <w:r w:rsidR="00CF6DE7">
        <w:rPr>
          <w:lang w:val="ro-RO" w:eastAsia="ro-RO"/>
        </w:rPr>
        <w:t>ț</w:t>
      </w:r>
      <w:r w:rsidR="00410D27" w:rsidRPr="00FE09BF">
        <w:rPr>
          <w:lang w:val="ro-RO" w:eastAsia="ro-RO"/>
        </w:rPr>
        <w:t>ia dureaza 8-11 zile, iar evolu</w:t>
      </w:r>
      <w:r w:rsidR="00CF6DE7">
        <w:rPr>
          <w:lang w:val="ro-RO" w:eastAsia="ro-RO"/>
        </w:rPr>
        <w:t>ț</w:t>
      </w:r>
      <w:r w:rsidR="00410D27" w:rsidRPr="00FE09BF">
        <w:rPr>
          <w:lang w:val="ro-RO" w:eastAsia="ro-RO"/>
        </w:rPr>
        <w:t>ia larvar</w:t>
      </w:r>
      <w:r w:rsidR="00F0463C" w:rsidRPr="00FE09BF">
        <w:rPr>
          <w:lang w:val="ro-RO" w:eastAsia="ro-RO"/>
        </w:rPr>
        <w:t>ă</w:t>
      </w:r>
      <w:r w:rsidR="00410D27" w:rsidRPr="00FE09BF">
        <w:rPr>
          <w:lang w:val="ro-RO" w:eastAsia="ro-RO"/>
        </w:rPr>
        <w:t xml:space="preserve"> dureaza 20-35 zile. </w:t>
      </w:r>
      <w:r w:rsidR="00171749">
        <w:rPr>
          <w:lang w:val="ro-RO" w:eastAsia="ro-RO"/>
        </w:rPr>
        <w:t>Î</w:t>
      </w:r>
      <w:r w:rsidR="00F0463C" w:rsidRPr="00FE09BF">
        <w:rPr>
          <w:lang w:val="ro-RO" w:eastAsia="ro-RO"/>
        </w:rPr>
        <w:t>n cursul dezvoltarii sale o larva  distruge 6-9 semin</w:t>
      </w:r>
      <w:r w:rsidR="00171749">
        <w:rPr>
          <w:lang w:val="ro-RO" w:eastAsia="ro-RO"/>
        </w:rPr>
        <w:t>ț</w:t>
      </w:r>
      <w:r w:rsidR="00F0463C" w:rsidRPr="00FE09BF">
        <w:rPr>
          <w:lang w:val="ro-RO" w:eastAsia="ro-RO"/>
        </w:rPr>
        <w:t xml:space="preserve">e. </w:t>
      </w:r>
      <w:r w:rsidR="00410D27" w:rsidRPr="00FE09BF">
        <w:rPr>
          <w:lang w:val="ro-RO" w:eastAsia="ro-RO"/>
        </w:rPr>
        <w:t xml:space="preserve">La completa dezvoltare larvele rod orificii </w:t>
      </w:r>
      <w:r w:rsidR="00171749">
        <w:rPr>
          <w:lang w:val="ro-RO" w:eastAsia="ro-RO"/>
        </w:rPr>
        <w:t>î</w:t>
      </w:r>
      <w:r w:rsidR="00410D27" w:rsidRPr="00FE09BF">
        <w:rPr>
          <w:lang w:val="ro-RO" w:eastAsia="ro-RO"/>
        </w:rPr>
        <w:t>n peretele silicvei, parasesc locuril</w:t>
      </w:r>
      <w:r w:rsidR="00191832" w:rsidRPr="00FE09BF">
        <w:rPr>
          <w:lang w:val="ro-RO" w:eastAsia="ro-RO"/>
        </w:rPr>
        <w:t>e de hran</w:t>
      </w:r>
      <w:r w:rsidR="00171749">
        <w:rPr>
          <w:lang w:val="ro-RO" w:eastAsia="ro-RO"/>
        </w:rPr>
        <w:t>ă</w:t>
      </w:r>
      <w:r w:rsidR="00191832" w:rsidRPr="00FE09BF">
        <w:rPr>
          <w:lang w:val="ro-RO" w:eastAsia="ro-RO"/>
        </w:rPr>
        <w:t xml:space="preserve">, se rtrag </w:t>
      </w:r>
      <w:r w:rsidR="00171749">
        <w:rPr>
          <w:lang w:val="ro-RO" w:eastAsia="ro-RO"/>
        </w:rPr>
        <w:t>î</w:t>
      </w:r>
      <w:r w:rsidR="00191832" w:rsidRPr="00FE09BF">
        <w:rPr>
          <w:lang w:val="ro-RO" w:eastAsia="ro-RO"/>
        </w:rPr>
        <w:t xml:space="preserve">n sol </w:t>
      </w:r>
      <w:r w:rsidR="00171749">
        <w:rPr>
          <w:lang w:val="ro-RO" w:eastAsia="ro-RO"/>
        </w:rPr>
        <w:t>ș</w:t>
      </w:r>
      <w:r w:rsidR="00191832" w:rsidRPr="00FE09BF">
        <w:rPr>
          <w:lang w:val="ro-RO" w:eastAsia="ro-RO"/>
        </w:rPr>
        <w:t>i</w:t>
      </w:r>
      <w:r w:rsidR="00410D27" w:rsidRPr="00FE09BF">
        <w:rPr>
          <w:lang w:val="ro-RO" w:eastAsia="ro-RO"/>
        </w:rPr>
        <w:t xml:space="preserve"> se </w:t>
      </w:r>
      <w:r w:rsidR="00171749">
        <w:rPr>
          <w:lang w:val="ro-RO" w:eastAsia="ro-RO"/>
        </w:rPr>
        <w:t>î</w:t>
      </w:r>
      <w:r w:rsidR="00410D27" w:rsidRPr="00FE09BF">
        <w:rPr>
          <w:lang w:val="ro-RO" w:eastAsia="ro-RO"/>
        </w:rPr>
        <w:t>mpupeaz</w:t>
      </w:r>
      <w:r w:rsidR="00191832" w:rsidRPr="00FE09BF">
        <w:rPr>
          <w:lang w:val="ro-RO" w:eastAsia="ro-RO"/>
        </w:rPr>
        <w:t>ă.</w:t>
      </w:r>
      <w:r w:rsidR="00410D27" w:rsidRPr="00FE09BF">
        <w:rPr>
          <w:lang w:val="ro-RO" w:eastAsia="ro-RO"/>
        </w:rPr>
        <w:t xml:space="preserve"> Noii adulti se hranesc pe seama plantelor crucifere spontane </w:t>
      </w:r>
      <w:r w:rsidR="00171749">
        <w:rPr>
          <w:lang w:val="ro-RO" w:eastAsia="ro-RO"/>
        </w:rPr>
        <w:t>ș</w:t>
      </w:r>
      <w:r w:rsidR="00410D27" w:rsidRPr="00FE09BF">
        <w:rPr>
          <w:lang w:val="ro-RO" w:eastAsia="ro-RO"/>
        </w:rPr>
        <w:t>i cultivate, p</w:t>
      </w:r>
      <w:r w:rsidR="00171749">
        <w:rPr>
          <w:lang w:val="ro-RO" w:eastAsia="ro-RO"/>
        </w:rPr>
        <w:t>â</w:t>
      </w:r>
      <w:r w:rsidR="00410D27" w:rsidRPr="00FE09BF">
        <w:rPr>
          <w:lang w:val="ro-RO" w:eastAsia="ro-RO"/>
        </w:rPr>
        <w:t xml:space="preserve">na </w:t>
      </w:r>
      <w:r w:rsidR="00171749">
        <w:rPr>
          <w:lang w:val="ro-RO" w:eastAsia="ro-RO"/>
        </w:rPr>
        <w:t>î</w:t>
      </w:r>
      <w:r w:rsidR="00410D27" w:rsidRPr="00FE09BF">
        <w:rPr>
          <w:lang w:val="ro-RO" w:eastAsia="ro-RO"/>
        </w:rPr>
        <w:t xml:space="preserve">n toamna </w:t>
      </w:r>
      <w:r w:rsidR="0069307C" w:rsidRPr="00FE09BF">
        <w:rPr>
          <w:lang w:val="ro-RO" w:eastAsia="ro-RO"/>
        </w:rPr>
        <w:t xml:space="preserve">cand se retrag pentru hibernare. </w:t>
      </w:r>
    </w:p>
    <w:p w:rsidR="00136E50" w:rsidRPr="00FE09BF" w:rsidRDefault="0075383F" w:rsidP="00CF6DE7">
      <w:pPr>
        <w:pStyle w:val="NormalWeb"/>
        <w:shd w:val="clear" w:color="auto" w:fill="F4F6F4"/>
        <w:spacing w:before="0" w:after="0"/>
        <w:ind w:firstLine="720"/>
        <w:jc w:val="both"/>
        <w:textAlignment w:val="baseline"/>
        <w:rPr>
          <w:i/>
          <w:iCs/>
          <w:color w:val="333333"/>
          <w:shd w:val="clear" w:color="auto" w:fill="FFFFFF"/>
          <w:lang w:val="pt-BR"/>
        </w:rPr>
      </w:pPr>
      <w:r w:rsidRPr="00FE09BF">
        <w:rPr>
          <w:b/>
          <w:lang w:val="ro-RO"/>
        </w:rPr>
        <w:lastRenderedPageBreak/>
        <w:t>Țînțărașul galicol al silicvelor</w:t>
      </w:r>
      <w:r w:rsidR="00171749">
        <w:rPr>
          <w:b/>
          <w:lang w:val="ro-RO"/>
        </w:rPr>
        <w:t xml:space="preserve"> </w:t>
      </w:r>
      <w:r w:rsidRPr="00FE09BF">
        <w:rPr>
          <w:i/>
          <w:lang w:val="ro-RO"/>
        </w:rPr>
        <w:t>(Dasyneura brassicae)</w:t>
      </w:r>
      <w:r w:rsidRPr="00FE09BF">
        <w:rPr>
          <w:lang w:val="ro-RO"/>
        </w:rPr>
        <w:t xml:space="preserve"> -</w:t>
      </w:r>
      <w:r w:rsidR="002D4296" w:rsidRPr="00FE09BF">
        <w:rPr>
          <w:shd w:val="clear" w:color="auto" w:fill="FFFFFF"/>
          <w:lang w:val="ro-RO"/>
        </w:rPr>
        <w:t xml:space="preserve"> D</w:t>
      </w:r>
      <w:r w:rsidR="00136E50" w:rsidRPr="00FE09BF">
        <w:rPr>
          <w:color w:val="333333"/>
          <w:shd w:val="clear" w:color="auto" w:fill="FFFFFF"/>
          <w:lang w:val="ro-RO"/>
        </w:rPr>
        <w:t>ăunător</w:t>
      </w:r>
      <w:r w:rsidR="002D4296" w:rsidRPr="00FE09BF">
        <w:rPr>
          <w:color w:val="333333"/>
          <w:shd w:val="clear" w:color="auto" w:fill="FFFFFF"/>
          <w:lang w:val="ro-RO"/>
        </w:rPr>
        <w:t>ul</w:t>
      </w:r>
      <w:r w:rsidR="00136E50" w:rsidRPr="00FE09BF">
        <w:rPr>
          <w:color w:val="333333"/>
          <w:shd w:val="clear" w:color="auto" w:fill="FFFFFF"/>
          <w:lang w:val="ro-RO"/>
        </w:rPr>
        <w:t xml:space="preserve"> este întâlnit în toate regiunile și are ca gazdă mai multe plante din familia cruciferelor. </w:t>
      </w:r>
      <w:r w:rsidR="00136E50" w:rsidRPr="00FE09BF">
        <w:rPr>
          <w:color w:val="333333"/>
          <w:shd w:val="clear" w:color="auto" w:fill="FFFFFF"/>
          <w:lang w:val="pt-BR"/>
        </w:rPr>
        <w:t xml:space="preserve">Tânţăruşul silicvelor hibernează ca pupă în sol în culturile anterioare de rapiţă. La temperaturi de 12 - 15°C eclozează. </w:t>
      </w:r>
      <w:r w:rsidR="00136E50" w:rsidRPr="00FE09BF">
        <w:rPr>
          <w:color w:val="333333"/>
          <w:shd w:val="clear" w:color="auto" w:fill="FFFFFF"/>
          <w:lang w:val="pt-BR"/>
        </w:rPr>
        <w:lastRenderedPageBreak/>
        <w:t xml:space="preserve">Zborul insectelor are loc în timpul înfloririi rapiţei. Femela care trăieşte 3-4 zile depune până la 60 de ouă în 3 serii. Ca </w:t>
      </w:r>
      <w:r w:rsidR="00136E50" w:rsidRPr="00FE09BF">
        <w:rPr>
          <w:color w:val="333333"/>
          <w:shd w:val="clear" w:color="auto" w:fill="FFFFFF"/>
          <w:lang w:val="pt-BR"/>
        </w:rPr>
        <w:lastRenderedPageBreak/>
        <w:t>loc de depunere a ouălor sunt preferate silicvele lezate, de aceea apariţia insectei es</w:t>
      </w:r>
      <w:r w:rsidR="002D4296" w:rsidRPr="00FE09BF">
        <w:rPr>
          <w:color w:val="333333"/>
          <w:shd w:val="clear" w:color="auto" w:fill="FFFFFF"/>
          <w:lang w:val="pt-BR"/>
        </w:rPr>
        <w:t>te legată de apariţia gărgăriței</w:t>
      </w:r>
      <w:r w:rsidR="00136E50" w:rsidRPr="00FE09BF">
        <w:rPr>
          <w:color w:val="333333"/>
          <w:shd w:val="clear" w:color="auto" w:fill="FFFFFF"/>
          <w:lang w:val="pt-BR"/>
        </w:rPr>
        <w:t> </w:t>
      </w:r>
      <w:r w:rsidR="00136E50" w:rsidRPr="00FE09BF">
        <w:rPr>
          <w:i/>
          <w:iCs/>
          <w:color w:val="333333"/>
          <w:shd w:val="clear" w:color="auto" w:fill="FFFFFF"/>
          <w:lang w:val="pt-BR"/>
        </w:rPr>
        <w:t>Ceutor</w:t>
      </w:r>
      <w:r w:rsidR="002D4296" w:rsidRPr="00FE09BF">
        <w:rPr>
          <w:i/>
          <w:iCs/>
          <w:color w:val="333333"/>
          <w:shd w:val="clear" w:color="auto" w:fill="FFFFFF"/>
          <w:lang w:val="pt-BR"/>
        </w:rPr>
        <w:t>h</w:t>
      </w:r>
      <w:r w:rsidR="00136E50" w:rsidRPr="00FE09BF">
        <w:rPr>
          <w:i/>
          <w:iCs/>
          <w:color w:val="333333"/>
          <w:shd w:val="clear" w:color="auto" w:fill="FFFFFF"/>
          <w:lang w:val="pt-BR"/>
        </w:rPr>
        <w:t>ynchus a</w:t>
      </w:r>
      <w:r w:rsidR="00136E50" w:rsidRPr="00FE09BF">
        <w:rPr>
          <w:color w:val="333333"/>
          <w:shd w:val="clear" w:color="auto" w:fill="FFFFFF"/>
          <w:lang w:val="pt-BR"/>
        </w:rPr>
        <w:t>, ace</w:t>
      </w:r>
      <w:r w:rsidR="002D4296" w:rsidRPr="00FE09BF">
        <w:rPr>
          <w:color w:val="333333"/>
          <w:shd w:val="clear" w:color="auto" w:fill="FFFFFF"/>
          <w:lang w:val="pt-BR"/>
        </w:rPr>
        <w:t>a</w:t>
      </w:r>
      <w:r w:rsidR="00136E50" w:rsidRPr="00FE09BF">
        <w:rPr>
          <w:color w:val="333333"/>
          <w:shd w:val="clear" w:color="auto" w:fill="FFFFFF"/>
          <w:lang w:val="pt-BR"/>
        </w:rPr>
        <w:t xml:space="preserve">sta din urmă produce pagube importante. </w:t>
      </w:r>
      <w:r w:rsidR="00641178" w:rsidRPr="00FE09BF">
        <w:rPr>
          <w:shd w:val="clear" w:color="auto" w:fill="FFFFFF"/>
          <w:lang w:val="pt-BR"/>
        </w:rPr>
        <w:t>Larvele, se hrănesc cu peretele interior al silicvei, provocând simptome tipice de băşicare a acestora. Silicva se îngălbeneşte şi se sparge prematur, ducând la pierderea totală a seminţelor.</w:t>
      </w:r>
      <w:r w:rsidR="00171749">
        <w:rPr>
          <w:shd w:val="clear" w:color="auto" w:fill="FFFFFF"/>
          <w:lang w:val="pt-BR"/>
        </w:rPr>
        <w:t xml:space="preserve"> </w:t>
      </w:r>
      <w:r w:rsidR="00136E50" w:rsidRPr="00FE09BF">
        <w:rPr>
          <w:color w:val="333333"/>
          <w:shd w:val="clear" w:color="auto" w:fill="FFFFFF"/>
          <w:lang w:val="pt-BR"/>
        </w:rPr>
        <w:t>Larvele parcurg 3 stadii distincte înainte să se transform</w:t>
      </w:r>
      <w:r w:rsidR="00641178" w:rsidRPr="00FE09BF">
        <w:rPr>
          <w:color w:val="333333"/>
          <w:shd w:val="clear" w:color="auto" w:fill="FFFFFF"/>
          <w:lang w:val="pt-BR"/>
        </w:rPr>
        <w:t>e</w:t>
      </w:r>
      <w:r w:rsidR="00136E50" w:rsidRPr="00FE09BF">
        <w:rPr>
          <w:color w:val="333333"/>
          <w:shd w:val="clear" w:color="auto" w:fill="FFFFFF"/>
          <w:lang w:val="pt-BR"/>
        </w:rPr>
        <w:t xml:space="preserve"> în sol în pupă. Pot apărea până la trei generaţii pe an. O parte dintre larve se transformă în pupă şi iernează în sol sub această formă.</w:t>
      </w:r>
      <w:r w:rsidR="00171749">
        <w:rPr>
          <w:color w:val="333333"/>
          <w:shd w:val="clear" w:color="auto" w:fill="FFFFFF"/>
          <w:lang w:val="pt-BR"/>
        </w:rPr>
        <w:t xml:space="preserve"> </w:t>
      </w:r>
      <w:r w:rsidR="00641178" w:rsidRPr="00FE09BF">
        <w:rPr>
          <w:color w:val="333333"/>
          <w:shd w:val="clear" w:color="auto" w:fill="FFFFFF"/>
          <w:lang w:val="pt-BR"/>
        </w:rPr>
        <w:t>Insecta de 1,2</w:t>
      </w:r>
      <w:r w:rsidR="00136E50" w:rsidRPr="00FE09BF">
        <w:rPr>
          <w:color w:val="333333"/>
          <w:shd w:val="clear" w:color="auto" w:fill="FFFFFF"/>
          <w:lang w:val="pt-BR"/>
        </w:rPr>
        <w:t>-1,5 mm are picioare lungi, antene lungi şi aripi sclipitoare. Toracele este brun-negru cu pilozitate albicioasă, abdomenul dungat roşcat şi brun. Larvele de 2 mm sunt iniţial vitroase, ulterior albe până la gălbui-albe fără capsulă cefalică şi fără picioare.</w:t>
      </w:r>
    </w:p>
    <w:p w:rsidR="002D4296" w:rsidRPr="00FE09BF" w:rsidRDefault="0069307C" w:rsidP="00CF6DE7">
      <w:pPr>
        <w:pStyle w:val="NormalWeb"/>
        <w:shd w:val="clear" w:color="auto" w:fill="F4F6F4"/>
        <w:spacing w:before="0" w:after="0"/>
        <w:jc w:val="both"/>
        <w:textAlignment w:val="baseline"/>
        <w:sectPr w:rsidR="002D4296" w:rsidRPr="00FE09BF" w:rsidSect="003433D0">
          <w:type w:val="continuous"/>
          <w:pgSz w:w="12240" w:h="15840"/>
          <w:pgMar w:top="144" w:right="288" w:bottom="288" w:left="1440" w:header="720" w:footer="720" w:gutter="0"/>
          <w:cols w:num="2" w:space="710" w:equalWidth="0">
            <w:col w:w="7207" w:space="142"/>
            <w:col w:w="3163"/>
          </w:cols>
          <w:docGrid w:linePitch="360"/>
        </w:sectPr>
      </w:pPr>
      <w:r w:rsidRPr="00FE09BF">
        <w:rPr>
          <w:noProof/>
          <w:lang w:val="ro-RO" w:eastAsia="ro-RO"/>
        </w:rPr>
        <w:lastRenderedPageBreak/>
        <w:drawing>
          <wp:inline distT="0" distB="0" distL="0" distR="0">
            <wp:extent cx="1904227" cy="1071349"/>
            <wp:effectExtent l="19050" t="0" r="773" b="0"/>
            <wp:docPr id="16" name="Imagine 16" descr="https://www.agro.basf.ro/common/pests/dasybr_02b_750x422.jpg?1678713219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agro.basf.ro/common/pests/dasybr_02b_750x422.jpg?167871321907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04" cy="1074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4296" w:rsidRPr="00FE09BF">
        <w:rPr>
          <w:noProof/>
          <w:lang w:val="ro-RO" w:eastAsia="ro-RO"/>
        </w:rPr>
        <w:drawing>
          <wp:inline distT="0" distB="0" distL="0" distR="0">
            <wp:extent cx="1904381" cy="1071349"/>
            <wp:effectExtent l="19050" t="0" r="619" b="0"/>
            <wp:docPr id="22" name="Imagine 22" descr="https://www.agro.basf.ro/common/pests/dasybr_02_1540x866.jpg?1678712850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agro.basf.ro/common/pests/dasybr_02_1540x866.jpg?167871285094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116" cy="1072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13A" w:rsidRPr="00FE09BF" w:rsidRDefault="00273348" w:rsidP="00171749">
      <w:pPr>
        <w:pStyle w:val="NormalWeb"/>
        <w:shd w:val="clear" w:color="auto" w:fill="F4F6F4"/>
        <w:spacing w:before="0" w:after="0"/>
        <w:ind w:left="720"/>
        <w:textAlignment w:val="baseline"/>
        <w:rPr>
          <w:lang w:val="pt-BR"/>
        </w:rPr>
      </w:pPr>
      <w:r w:rsidRPr="00FE09BF">
        <w:rPr>
          <w:lang w:val="pt-BR"/>
        </w:rPr>
        <w:lastRenderedPageBreak/>
        <w:t xml:space="preserve">Pentru tratament recomandăm: </w:t>
      </w:r>
      <w:r w:rsidRPr="00FE09BF">
        <w:rPr>
          <w:b/>
          <w:lang w:val="pt-BR"/>
        </w:rPr>
        <w:t>MAVRIK 2 F  (EVURE)</w:t>
      </w:r>
      <w:r w:rsidR="008F201E" w:rsidRPr="00FE09BF">
        <w:rPr>
          <w:lang w:val="pt-BR"/>
        </w:rPr>
        <w:t xml:space="preserve"> pentru combaterea</w:t>
      </w:r>
      <w:r w:rsidRPr="00FE09BF">
        <w:rPr>
          <w:b/>
          <w:lang w:val="pt-BR"/>
        </w:rPr>
        <w:t>g</w:t>
      </w:r>
      <w:r w:rsidR="008F201E" w:rsidRPr="00FE09BF">
        <w:rPr>
          <w:b/>
          <w:lang w:val="pt-BR"/>
        </w:rPr>
        <w:t>argariței</w:t>
      </w:r>
      <w:r w:rsidRPr="00FE09BF">
        <w:rPr>
          <w:b/>
          <w:lang w:val="pt-BR"/>
        </w:rPr>
        <w:t xml:space="preserve"> tulpinilor,</w:t>
      </w:r>
      <w:r w:rsidR="008F201E" w:rsidRPr="00FE09BF">
        <w:rPr>
          <w:b/>
          <w:lang w:val="pt-BR"/>
        </w:rPr>
        <w:t xml:space="preserve"> a</w:t>
      </w:r>
      <w:r w:rsidRPr="00FE09BF">
        <w:rPr>
          <w:b/>
          <w:lang w:val="pt-BR"/>
        </w:rPr>
        <w:t xml:space="preserve"> viesp</w:t>
      </w:r>
      <w:r w:rsidR="00E7574C" w:rsidRPr="00FE09BF">
        <w:rPr>
          <w:b/>
          <w:lang w:val="pt-BR"/>
        </w:rPr>
        <w:t xml:space="preserve">ii rapitei,a </w:t>
      </w:r>
      <w:r w:rsidRPr="00FE09BF">
        <w:rPr>
          <w:b/>
          <w:lang w:val="pt-BR"/>
        </w:rPr>
        <w:t>gandacul</w:t>
      </w:r>
      <w:r w:rsidR="008F201E" w:rsidRPr="00FE09BF">
        <w:rPr>
          <w:b/>
          <w:lang w:val="pt-BR"/>
        </w:rPr>
        <w:t>ui</w:t>
      </w:r>
      <w:r w:rsidRPr="00FE09BF">
        <w:rPr>
          <w:b/>
          <w:lang w:val="pt-BR"/>
        </w:rPr>
        <w:t xml:space="preserve"> lucios alrapitei</w:t>
      </w:r>
      <w:r w:rsidR="00E7574C" w:rsidRPr="00FE09BF">
        <w:rPr>
          <w:b/>
          <w:lang w:val="pt-BR"/>
        </w:rPr>
        <w:t xml:space="preserve"> și a paduchelui cenusiu,</w:t>
      </w:r>
      <w:r w:rsidRPr="00FE09BF">
        <w:rPr>
          <w:b/>
          <w:lang w:val="pt-BR"/>
        </w:rPr>
        <w:t>în doză de  0,2 l/ha.</w:t>
      </w:r>
      <w:r w:rsidR="00E7574C" w:rsidRPr="00FE09BF">
        <w:rPr>
          <w:b/>
          <w:lang w:val="pt-BR"/>
        </w:rPr>
        <w:tab/>
      </w:r>
      <w:r w:rsidR="00F7413A" w:rsidRPr="00FE09BF">
        <w:rPr>
          <w:lang w:val="pt-BR"/>
        </w:rPr>
        <w:t>In caz de atac cu agenți patogeni  aplicați în soluția de stropit și un fungicid:</w:t>
      </w:r>
      <w:r w:rsidRPr="00FE09BF">
        <w:rPr>
          <w:lang w:val="pt-BR"/>
        </w:rPr>
        <w:t xml:space="preserve">  </w:t>
      </w:r>
      <w:r w:rsidR="00171749">
        <w:rPr>
          <w:lang w:val="pt-BR"/>
        </w:rPr>
        <w:tab/>
      </w:r>
      <w:r w:rsidR="002D4296" w:rsidRPr="00FE09BF">
        <w:rPr>
          <w:b/>
          <w:lang w:val="pt-BR"/>
        </w:rPr>
        <w:t>AMISTAR</w:t>
      </w:r>
      <w:r w:rsidRPr="00FE09BF">
        <w:rPr>
          <w:b/>
          <w:lang w:val="pt-BR"/>
        </w:rPr>
        <w:t xml:space="preserve"> (MIRADOR 250 SC</w:t>
      </w:r>
      <w:r w:rsidRPr="00FE09BF">
        <w:rPr>
          <w:lang w:val="pt-BR"/>
        </w:rPr>
        <w:t xml:space="preserve">) </w:t>
      </w:r>
      <w:r w:rsidR="00F7413A" w:rsidRPr="00FE09BF">
        <w:rPr>
          <w:b/>
          <w:lang w:val="pt-BR"/>
        </w:rPr>
        <w:t xml:space="preserve">- 0,75-1,0 </w:t>
      </w:r>
      <w:r w:rsidR="00680DB2" w:rsidRPr="00FE09BF">
        <w:rPr>
          <w:b/>
          <w:lang w:val="pt-BR"/>
        </w:rPr>
        <w:t>l</w:t>
      </w:r>
      <w:r w:rsidR="00F7413A" w:rsidRPr="00FE09BF">
        <w:rPr>
          <w:b/>
          <w:lang w:val="pt-BR"/>
        </w:rPr>
        <w:t>/ha</w:t>
      </w:r>
      <w:r w:rsidR="00680DB2" w:rsidRPr="00FE09BF">
        <w:rPr>
          <w:b/>
          <w:lang w:val="pt-BR"/>
        </w:rPr>
        <w:t>,</w:t>
      </w:r>
      <w:r w:rsidR="00F7413A" w:rsidRPr="00FE09BF">
        <w:rPr>
          <w:lang w:val="pt-BR"/>
        </w:rPr>
        <w:t xml:space="preserve"> in functie de gradul de infectie sau </w:t>
      </w:r>
      <w:r w:rsidR="00171749">
        <w:rPr>
          <w:lang w:val="pt-BR"/>
        </w:rPr>
        <w:tab/>
      </w:r>
      <w:r w:rsidR="002D4296" w:rsidRPr="00FE09BF">
        <w:rPr>
          <w:b/>
          <w:lang w:val="pt-BR"/>
        </w:rPr>
        <w:t>FOLICUR SOLO 250 EW</w:t>
      </w:r>
      <w:r w:rsidR="00F7413A" w:rsidRPr="00FE09BF">
        <w:rPr>
          <w:b/>
          <w:lang w:val="pt-BR"/>
        </w:rPr>
        <w:t xml:space="preserve"> (VALOR 250 EW)</w:t>
      </w:r>
      <w:r w:rsidR="00F7413A" w:rsidRPr="00FE09BF">
        <w:rPr>
          <w:lang w:val="pt-BR"/>
        </w:rPr>
        <w:t xml:space="preserve"> -</w:t>
      </w:r>
      <w:r w:rsidR="00E7574C" w:rsidRPr="00FE09BF">
        <w:rPr>
          <w:b/>
          <w:lang w:val="pt-BR"/>
        </w:rPr>
        <w:t>1,0 l</w:t>
      </w:r>
      <w:r w:rsidR="00F7413A" w:rsidRPr="00FE09BF">
        <w:rPr>
          <w:b/>
          <w:lang w:val="pt-BR"/>
        </w:rPr>
        <w:t>/ha</w:t>
      </w:r>
    </w:p>
    <w:p w:rsidR="007E2C43" w:rsidRPr="00FE09BF" w:rsidRDefault="00F76575" w:rsidP="00CF6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E09BF">
        <w:rPr>
          <w:rFonts w:ascii="Times New Roman" w:hAnsi="Times New Roman" w:cs="Times New Roman"/>
          <w:b/>
          <w:sz w:val="24"/>
          <w:szCs w:val="24"/>
          <w:lang w:val="pt-BR"/>
        </w:rPr>
        <w:t>Alte recomandări!</w:t>
      </w:r>
    </w:p>
    <w:p w:rsidR="002D4296" w:rsidRPr="00FE09BF" w:rsidRDefault="00E7574C" w:rsidP="00CF6DE7">
      <w:pPr>
        <w:pStyle w:val="NormalWeb"/>
        <w:shd w:val="clear" w:color="auto" w:fill="F4F6F4"/>
        <w:spacing w:before="0" w:after="0"/>
        <w:ind w:firstLine="720"/>
        <w:jc w:val="both"/>
        <w:textAlignment w:val="baseline"/>
        <w:rPr>
          <w:spacing w:val="-2"/>
          <w:lang w:val="ro-RO" w:eastAsia="ro-RO"/>
        </w:rPr>
      </w:pPr>
      <w:r w:rsidRPr="00FE09BF">
        <w:rPr>
          <w:spacing w:val="-2"/>
          <w:lang w:val="ro-RO" w:eastAsia="ro-RO"/>
        </w:rPr>
        <w:t xml:space="preserve">Pentru </w:t>
      </w:r>
      <w:r w:rsidR="00F0463C" w:rsidRPr="00FE09BF">
        <w:rPr>
          <w:spacing w:val="-2"/>
          <w:lang w:val="ro-RO" w:eastAsia="ro-RO"/>
        </w:rPr>
        <w:t xml:space="preserve"> prevenire și combatere</w:t>
      </w:r>
      <w:r w:rsidR="00606585" w:rsidRPr="00FE09BF">
        <w:rPr>
          <w:spacing w:val="-2"/>
          <w:lang w:val="ro-RO" w:eastAsia="ro-RO"/>
        </w:rPr>
        <w:t xml:space="preserve">a </w:t>
      </w:r>
      <w:r w:rsidRPr="00FE09BF">
        <w:rPr>
          <w:spacing w:val="-2"/>
          <w:lang w:val="ro-RO" w:eastAsia="ro-RO"/>
        </w:rPr>
        <w:t>complexului de boli și dăunători</w:t>
      </w:r>
      <w:r w:rsidR="00F0463C" w:rsidRPr="00FE09BF">
        <w:rPr>
          <w:spacing w:val="-2"/>
          <w:lang w:val="ro-RO" w:eastAsia="ro-RO"/>
        </w:rPr>
        <w:t>, se recomandă rotația culturilor, agrotehnica corectă, strângerea și distrugerea resturilor vegetale, precum și aplicarea tratamentelor cu insecticide specifice</w:t>
      </w:r>
      <w:r w:rsidR="000B71D0" w:rsidRPr="00FE09BF">
        <w:rPr>
          <w:spacing w:val="-2"/>
          <w:lang w:val="ro-RO" w:eastAsia="ro-RO"/>
        </w:rPr>
        <w:t>.</w:t>
      </w:r>
    </w:p>
    <w:p w:rsidR="002D4296" w:rsidRPr="00FE09BF" w:rsidRDefault="007E2C43" w:rsidP="00CF6DE7">
      <w:pPr>
        <w:pStyle w:val="NormalWeb"/>
        <w:shd w:val="clear" w:color="auto" w:fill="F4F6F4"/>
        <w:spacing w:before="0" w:after="0"/>
        <w:ind w:firstLine="720"/>
        <w:jc w:val="both"/>
        <w:textAlignment w:val="baseline"/>
        <w:rPr>
          <w:lang w:val="pt-BR"/>
        </w:rPr>
      </w:pPr>
      <w:r w:rsidRPr="00FE09BF">
        <w:rPr>
          <w:b/>
          <w:lang w:val="it-IT"/>
        </w:rPr>
        <w:t xml:space="preserve">Se vor  avertiza  apicultorii din zona </w:t>
      </w:r>
      <w:r w:rsidRPr="00FE09BF">
        <w:rPr>
          <w:b/>
          <w:lang w:val="ro-RO"/>
        </w:rPr>
        <w:t xml:space="preserve">în care </w:t>
      </w:r>
      <w:r w:rsidRPr="00FE09BF">
        <w:rPr>
          <w:b/>
          <w:lang w:val="it-IT"/>
        </w:rPr>
        <w:t xml:space="preserve">  urmează a fi tratate suprafetele</w:t>
      </w:r>
      <w:r w:rsidR="000B71D0" w:rsidRPr="00FE09BF">
        <w:rPr>
          <w:b/>
          <w:lang w:val="it-IT"/>
        </w:rPr>
        <w:t>.</w:t>
      </w:r>
      <w:r w:rsidR="000B71D0" w:rsidRPr="00FE09BF">
        <w:rPr>
          <w:b/>
          <w:lang w:val="it-IT"/>
        </w:rPr>
        <w:tab/>
      </w:r>
      <w:r w:rsidR="000B71D0" w:rsidRPr="00FE09BF">
        <w:rPr>
          <w:b/>
          <w:lang w:val="it-IT"/>
        </w:rPr>
        <w:tab/>
      </w:r>
      <w:r w:rsidR="000B71D0" w:rsidRPr="00FE09BF">
        <w:rPr>
          <w:b/>
          <w:lang w:val="it-IT"/>
        </w:rPr>
        <w:tab/>
      </w:r>
      <w:r w:rsidR="000B71D0" w:rsidRPr="00FE09BF">
        <w:rPr>
          <w:lang w:val="pt-BR"/>
        </w:rPr>
        <w:tab/>
      </w:r>
    </w:p>
    <w:p w:rsidR="002D4296" w:rsidRPr="00FE09BF" w:rsidRDefault="00F76575" w:rsidP="00CF6DE7">
      <w:pPr>
        <w:pStyle w:val="NormalWeb"/>
        <w:shd w:val="clear" w:color="auto" w:fill="F4F6F4"/>
        <w:spacing w:before="0" w:after="0"/>
        <w:ind w:firstLine="720"/>
        <w:jc w:val="both"/>
        <w:textAlignment w:val="baseline"/>
        <w:rPr>
          <w:lang w:val="pt-BR"/>
        </w:rPr>
      </w:pPr>
      <w:r w:rsidRPr="00FE09BF">
        <w:rPr>
          <w:lang w:val="pt-BR"/>
        </w:rPr>
        <w:t xml:space="preserve">Citiţi cu atenţie </w:t>
      </w:r>
      <w:r w:rsidR="00510CC1" w:rsidRPr="00FE09BF">
        <w:rPr>
          <w:lang w:val="pt-BR"/>
        </w:rPr>
        <w:t>și respectați</w:t>
      </w:r>
      <w:r w:rsidRPr="00FE09BF">
        <w:rPr>
          <w:lang w:val="pt-BR"/>
        </w:rPr>
        <w:t>instrucțiuniile</w:t>
      </w:r>
      <w:r w:rsidR="00510CC1" w:rsidRPr="00FE09BF">
        <w:rPr>
          <w:lang w:val="pt-BR"/>
        </w:rPr>
        <w:t xml:space="preserve"> din prospectul fiecărui</w:t>
      </w:r>
      <w:r w:rsidRPr="00FE09BF">
        <w:rPr>
          <w:lang w:val="pt-BR"/>
        </w:rPr>
        <w:t xml:space="preserve"> produsde protecţia plantelor înainte de utilizare</w:t>
      </w:r>
      <w:r w:rsidR="0075383F" w:rsidRPr="00FE09BF">
        <w:rPr>
          <w:lang w:val="pt-BR"/>
        </w:rPr>
        <w:t>;</w:t>
      </w:r>
      <w:r w:rsidR="000B71D0" w:rsidRPr="00FE09BF">
        <w:rPr>
          <w:lang w:val="pt-BR"/>
        </w:rPr>
        <w:tab/>
      </w:r>
    </w:p>
    <w:p w:rsidR="00F76575" w:rsidRPr="00FE09BF" w:rsidRDefault="00F76575" w:rsidP="00CF6DE7">
      <w:pPr>
        <w:pStyle w:val="NormalWeb"/>
        <w:shd w:val="clear" w:color="auto" w:fill="F4F6F4"/>
        <w:spacing w:before="0" w:after="0"/>
        <w:ind w:firstLine="720"/>
        <w:jc w:val="both"/>
        <w:textAlignment w:val="baseline"/>
        <w:rPr>
          <w:spacing w:val="-2"/>
          <w:lang w:val="ro-RO" w:eastAsia="ro-RO"/>
        </w:rPr>
      </w:pPr>
      <w:r w:rsidRPr="00FE09BF">
        <w:rPr>
          <w:lang w:val="pt-BR"/>
        </w:rPr>
        <w:t>Cl</w:t>
      </w:r>
      <w:r w:rsidR="0075383F" w:rsidRPr="00FE09BF">
        <w:rPr>
          <w:lang w:val="pt-BR"/>
        </w:rPr>
        <w:t>ă</w:t>
      </w:r>
      <w:r w:rsidRPr="00FE09BF">
        <w:rPr>
          <w:lang w:val="pt-BR"/>
        </w:rPr>
        <w:t xml:space="preserve">tiți de 3 ori recipienții </w:t>
      </w:r>
      <w:r w:rsidR="0075383F" w:rsidRPr="00FE09BF">
        <w:rPr>
          <w:lang w:val="pt-BR"/>
        </w:rPr>
        <w:t>ș</w:t>
      </w:r>
      <w:r w:rsidRPr="00FE09BF">
        <w:rPr>
          <w:lang w:val="pt-BR"/>
        </w:rPr>
        <w:t>i livra</w:t>
      </w:r>
      <w:r w:rsidR="0075383F" w:rsidRPr="00FE09BF">
        <w:rPr>
          <w:lang w:val="pt-BR"/>
        </w:rPr>
        <w:t>ț</w:t>
      </w:r>
      <w:r w:rsidRPr="00FE09BF">
        <w:rPr>
          <w:lang w:val="pt-BR"/>
        </w:rPr>
        <w:t>i ambalajele si apele uzate la operatorii economici care efectueazã</w:t>
      </w:r>
      <w:r w:rsidR="00C72117">
        <w:rPr>
          <w:lang w:val="pt-BR"/>
        </w:rPr>
        <w:t xml:space="preserve"> </w:t>
      </w:r>
      <w:r w:rsidRPr="00FE09BF">
        <w:rPr>
          <w:lang w:val="pt-BR"/>
        </w:rPr>
        <w:t xml:space="preserve">neutralizarea acestora </w:t>
      </w:r>
      <w:r w:rsidR="00C72117">
        <w:rPr>
          <w:lang w:val="pt-BR"/>
        </w:rPr>
        <w:t xml:space="preserve"> </w:t>
      </w:r>
      <w:r w:rsidRPr="00FE09BF">
        <w:rPr>
          <w:b/>
          <w:bCs/>
          <w:i/>
          <w:iCs/>
          <w:lang w:val="pt-BR"/>
        </w:rPr>
        <w:t xml:space="preserve">program SCAPA </w:t>
      </w:r>
      <w:r w:rsidR="0033735A" w:rsidRPr="00FE09BF">
        <w:fldChar w:fldCharType="begin"/>
      </w:r>
      <w:r w:rsidR="00D74C72" w:rsidRPr="00FE09BF">
        <w:instrText>HYPERLINK "http://www.aiprom.ro"</w:instrText>
      </w:r>
      <w:r w:rsidR="0033735A" w:rsidRPr="00FE09BF">
        <w:fldChar w:fldCharType="separate"/>
      </w:r>
      <w:r w:rsidR="00606585" w:rsidRPr="00FE09BF">
        <w:rPr>
          <w:rStyle w:val="Hyperlink"/>
          <w:lang w:val="pt-BR"/>
        </w:rPr>
        <w:t>www.aiprom.ro</w:t>
      </w:r>
      <w:r w:rsidR="0033735A" w:rsidRPr="00FE09BF">
        <w:fldChar w:fldCharType="end"/>
      </w:r>
      <w:r w:rsidR="00606585" w:rsidRPr="00FE09BF">
        <w:rPr>
          <w:lang w:val="pt-BR"/>
        </w:rPr>
        <w:t>.</w:t>
      </w:r>
    </w:p>
    <w:p w:rsidR="00606585" w:rsidRPr="00FE09BF" w:rsidRDefault="00606585" w:rsidP="00CF6DE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E09BF">
        <w:rPr>
          <w:rFonts w:ascii="Times New Roman" w:hAnsi="Times New Roman" w:cs="Times New Roman"/>
          <w:sz w:val="24"/>
          <w:szCs w:val="24"/>
          <w:lang w:val="ro-RO"/>
        </w:rPr>
        <w:t xml:space="preserve">Pentru tratamentele recomandate se pot folosi şi alte produse omologate cu efect similar!            </w:t>
      </w:r>
    </w:p>
    <w:p w:rsidR="00606585" w:rsidRPr="00FE09BF" w:rsidRDefault="000B71D0" w:rsidP="00CF6DE7">
      <w:pPr>
        <w:pStyle w:val="NormalWeb"/>
        <w:spacing w:before="0" w:after="0"/>
        <w:ind w:firstLine="720"/>
        <w:jc w:val="both"/>
        <w:rPr>
          <w:lang w:val="pt-BR"/>
        </w:rPr>
      </w:pPr>
      <w:r w:rsidRPr="00FE09BF">
        <w:rPr>
          <w:lang w:val="it-IT"/>
        </w:rPr>
        <w:t>In cazul in care amestecați ppp., e</w:t>
      </w:r>
      <w:r w:rsidR="00606585" w:rsidRPr="00FE09BF">
        <w:rPr>
          <w:lang w:val="it-IT"/>
        </w:rPr>
        <w:t>fectuaţi în prealabil testul de compatibilitate.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716"/>
        <w:gridCol w:w="952"/>
        <w:gridCol w:w="708"/>
        <w:gridCol w:w="993"/>
        <w:gridCol w:w="992"/>
        <w:gridCol w:w="850"/>
        <w:gridCol w:w="709"/>
        <w:gridCol w:w="709"/>
        <w:gridCol w:w="850"/>
        <w:gridCol w:w="1134"/>
        <w:gridCol w:w="851"/>
        <w:gridCol w:w="957"/>
      </w:tblGrid>
      <w:tr w:rsidR="00606585" w:rsidRPr="00FE09BF" w:rsidTr="00013DF0">
        <w:trPr>
          <w:trHeight w:val="265"/>
          <w:jc w:val="center"/>
        </w:trPr>
        <w:tc>
          <w:tcPr>
            <w:tcW w:w="716" w:type="dxa"/>
          </w:tcPr>
          <w:p w:rsidR="00606585" w:rsidRPr="00FE09BF" w:rsidRDefault="00606585" w:rsidP="00C72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606585" w:rsidRPr="00FE09BF" w:rsidRDefault="00606585" w:rsidP="00CF6DE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06585" w:rsidRPr="00FE09BF" w:rsidRDefault="00606585" w:rsidP="00CF6DE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585" w:rsidRPr="00FE09BF" w:rsidRDefault="00606585" w:rsidP="00CF6DE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6585" w:rsidRPr="00FE09BF" w:rsidRDefault="00606585" w:rsidP="00CF6DE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585" w:rsidRPr="00FE09BF" w:rsidRDefault="00606585" w:rsidP="00CF6DE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F">
              <w:rPr>
                <w:rFonts w:ascii="Times New Roman" w:hAnsi="Times New Roman" w:cs="Times New Roman"/>
                <w:sz w:val="24"/>
                <w:szCs w:val="24"/>
              </w:rPr>
              <w:t>Omolo-</w:t>
            </w:r>
          </w:p>
          <w:p w:rsidR="00606585" w:rsidRPr="00FE09BF" w:rsidRDefault="00606585" w:rsidP="00CF6DE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F">
              <w:rPr>
                <w:rFonts w:ascii="Times New Roman" w:hAnsi="Times New Roman" w:cs="Times New Roman"/>
                <w:sz w:val="24"/>
                <w:szCs w:val="24"/>
              </w:rPr>
              <w:t>-gată</w:t>
            </w:r>
          </w:p>
        </w:tc>
        <w:tc>
          <w:tcPr>
            <w:tcW w:w="709" w:type="dxa"/>
          </w:tcPr>
          <w:p w:rsidR="00606585" w:rsidRPr="00FE09BF" w:rsidRDefault="00606585" w:rsidP="00CF6DE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F">
              <w:rPr>
                <w:rFonts w:ascii="Times New Roman" w:hAnsi="Times New Roman" w:cs="Times New Roman"/>
                <w:sz w:val="24"/>
                <w:szCs w:val="24"/>
              </w:rPr>
              <w:t>Folosi- tă</w:t>
            </w:r>
          </w:p>
        </w:tc>
        <w:tc>
          <w:tcPr>
            <w:tcW w:w="709" w:type="dxa"/>
          </w:tcPr>
          <w:p w:rsidR="00606585" w:rsidRPr="00FE09BF" w:rsidRDefault="00606585" w:rsidP="00CF6DE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585" w:rsidRPr="00FE09BF" w:rsidRDefault="00606585" w:rsidP="00CF6DE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6585" w:rsidRPr="00FE09BF" w:rsidRDefault="00606585" w:rsidP="00CF6DE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6585" w:rsidRPr="00FE09BF" w:rsidRDefault="00606585" w:rsidP="00CF6DE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606585" w:rsidRPr="00FE09BF" w:rsidRDefault="00606585" w:rsidP="00CF6DE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585" w:rsidRPr="00FE09BF" w:rsidRDefault="00606585" w:rsidP="00CF6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9BF">
        <w:rPr>
          <w:rFonts w:ascii="Times New Roman" w:hAnsi="Times New Roman" w:cs="Times New Roman"/>
          <w:sz w:val="24"/>
          <w:szCs w:val="24"/>
        </w:rPr>
        <w:t>Conform</w:t>
      </w:r>
      <w:proofErr w:type="gramEnd"/>
      <w:r w:rsidRPr="00FE09BF">
        <w:rPr>
          <w:rFonts w:ascii="Times New Roman" w:hAnsi="Times New Roman" w:cs="Times New Roman"/>
          <w:sz w:val="24"/>
          <w:szCs w:val="24"/>
        </w:rPr>
        <w:t xml:space="preserve"> Reg. CE nr. </w:t>
      </w:r>
      <w:proofErr w:type="gramStart"/>
      <w:r w:rsidRPr="00FE09BF">
        <w:rPr>
          <w:rFonts w:ascii="Times New Roman" w:hAnsi="Times New Roman" w:cs="Times New Roman"/>
          <w:sz w:val="24"/>
          <w:szCs w:val="24"/>
        </w:rPr>
        <w:t xml:space="preserve">1107/2009, art.67 (1)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producătorul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numerotează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paginile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09B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spatele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ultima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pagină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) se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menționează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pagini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conține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purtând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ștampila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fermierului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administratorului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9BF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FE09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09BF">
        <w:rPr>
          <w:rFonts w:ascii="Times New Roman" w:hAnsi="Times New Roman" w:cs="Times New Roman"/>
          <w:sz w:val="24"/>
          <w:szCs w:val="24"/>
        </w:rPr>
        <w:t xml:space="preserve"> </w:t>
      </w:r>
      <w:r w:rsidRPr="00FE09BF">
        <w:rPr>
          <w:rFonts w:ascii="Times New Roman" w:hAnsi="Times New Roman" w:cs="Times New Roman"/>
          <w:sz w:val="24"/>
          <w:szCs w:val="24"/>
        </w:rPr>
        <w:tab/>
      </w:r>
    </w:p>
    <w:p w:rsidR="00606585" w:rsidRPr="00FE09BF" w:rsidRDefault="00606585" w:rsidP="00CF6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E09BF">
        <w:rPr>
          <w:rFonts w:ascii="Times New Roman" w:hAnsi="Times New Roman" w:cs="Times New Roman"/>
          <w:sz w:val="24"/>
          <w:szCs w:val="24"/>
          <w:lang w:val="pt-BR"/>
        </w:rPr>
        <w:t xml:space="preserve">Inspectorii Oficiului Fitosanitar pot sancționa fermierul, conform HG nr. 1230 din 12.12. 2012 privind stabilirea unor măsuri pentru aplicarea prevederilor Regulamentului (CE) nr. 1107/2009 al Parlamentului European și al Consiliului din 21.10.2009 privind introducerea pe piață a produselor fitosanitare și de abrogare a Directivelor 79/117/CEE si 91/414/CEE ale Consiliului, art. 3, pct. 1 (i),(1) Constituie contravenții următoarele fapte: i.) nerespectarea de către utilizatorii profesioniști a prevederilor art.67 alin. (1) din Regulamentul (CE) nr. 1107/2009 privind menținerea evidenței pe o perioadă de cel puțin 3 ani a ppp. pe care le utilizează (se sancționează cu amendă de la 8.000 lei la 10.000 lei). </w:t>
      </w:r>
    </w:p>
    <w:p w:rsidR="00606585" w:rsidRPr="00FE09BF" w:rsidRDefault="00606585" w:rsidP="00CF6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E09BF">
        <w:rPr>
          <w:rFonts w:ascii="Times New Roman" w:hAnsi="Times New Roman" w:cs="Times New Roman"/>
          <w:sz w:val="24"/>
          <w:szCs w:val="24"/>
          <w:lang w:val="pt-BR"/>
        </w:rPr>
        <w:t xml:space="preserve">Se vor respecta normele de ecocondiționalitate prevăzute în Ordinul nr. 869/2016 . Se vor respecta condițiile de depozitare, manipulare și utilizare a produselor de protecție a plantelor în exploatațiile agricole, conform Ghidului de bune practici de utilizare și depozitare a produselor de protecția plantelor,  https://www.anfdf. ro/sanatate/ghid/ghiduri.html   elaborate de AUTORITATEA NAȚIONALĂ FITOSANITARĂ. </w:t>
      </w:r>
    </w:p>
    <w:p w:rsidR="00606585" w:rsidRPr="00FE09BF" w:rsidRDefault="00606585" w:rsidP="00CF6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E09B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Pentru mai multe detalii accesati: </w:t>
      </w:r>
      <w:hyperlink r:id="rId11" w:history="1">
        <w:r w:rsidRPr="00FE09B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http://www.madr.ro/norme-de-eco-conditionalitate-in-domeniul-fitosanitar.html</w:t>
        </w:r>
      </w:hyperlink>
      <w:r w:rsidRPr="00FE09BF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EF2C3D" w:rsidRPr="00FE09BF" w:rsidRDefault="00EF2C3D" w:rsidP="00CF6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C72117" w:rsidRPr="00302720" w:rsidRDefault="00C72117" w:rsidP="00C72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>Luați măsurile ce se impun pentru protecția mediului înconjurător!</w:t>
      </w:r>
    </w:p>
    <w:p w:rsidR="00C72117" w:rsidRPr="00302720" w:rsidRDefault="00C72117" w:rsidP="00C72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Respectați cu strictețe normele de lucru cu produse pentru protecție a plantelor, normele de protecție și securitatea muncii, de protecție a albinelor și a animalelor în conformitate cu: Legea nr. 383/ 2013 a apiculturii cu modificările și completările ulterioare și Ordinul nr. 127/ 1991 al ACA din România, Ordinul comun nr. 45/ 1991 al Ministerului Agriculturii și Alimentației, 15b/ 3404/ 1991 al Dep. Pentru 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Administrație Locală și 1786/TB/ 1991 al Ministerului Transporturilor precum și cu Protocolul de colaborare nr. 328432/ 2015,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ncheiat cu ROMAPIS (privind implementarea legislației, în vederea protecției familiilor de albine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>mpotriva intoxicației cu produse pentru protecți</w:t>
      </w:r>
      <w:r>
        <w:rPr>
          <w:rFonts w:ascii="Times New Roman" w:hAnsi="Times New Roman" w:cs="Times New Roman"/>
          <w:sz w:val="24"/>
          <w:szCs w:val="24"/>
          <w:lang w:val="ro-RO"/>
        </w:rPr>
        <w:t>e a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plantelor);</w:t>
      </w:r>
    </w:p>
    <w:p w:rsidR="00C72117" w:rsidRPr="00302720" w:rsidRDefault="00C72117" w:rsidP="00C72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>Respectați prevederile Ordinului Ministrului Agriculturii și Dezvoltării Rurale nr. 297/ 2017 privind aprobarea Codului de bune practici pentru utilizarea în siguranță a produselor de protecție a plantelor.</w:t>
      </w:r>
    </w:p>
    <w:p w:rsidR="00C72117" w:rsidRPr="00302720" w:rsidRDefault="00C72117" w:rsidP="00C72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Respectați obligațiile ce vă revin conform Ordinul Ministrului Agriculturii și Dezvoltării Rurale, al Ministrului Mediului, Apelor și Pădurilor și al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reședintelui Autorității Naționale Sanitare Veterinare și pentru Siguramța Alimentelor nr. 352/ 636/ 54/ 2015 pentru aprobarea normelor privind ecocondiționalitatea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>n cadrul schemelor și măsurilor de sprijin pentru fermieri</w:t>
      </w:r>
      <w:r>
        <w:rPr>
          <w:rFonts w:ascii="Times New Roman" w:hAnsi="Times New Roman" w:cs="Times New Roman"/>
          <w:sz w:val="24"/>
          <w:szCs w:val="24"/>
          <w:lang w:val="ro-RO"/>
        </w:rPr>
        <w:t>idin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România, cu modificările ulterioare. </w:t>
      </w:r>
    </w:p>
    <w:p w:rsidR="00C72117" w:rsidRPr="00302720" w:rsidRDefault="00C72117" w:rsidP="00C721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Conform Reg. (CE) Nr. 1107/2009 al Parlamentului European și al Consiliului din 21.oct.2009, privind introducerea pe piață a produselor fitosanitare, fiecare utilizator a produselor de protecție a plantelor trebuie să păstreze cel puțin 3 ani evidența contabilă a produselor de protecție a plantelor depozitate și utilizate, precum și evidența efectuării fiecarui tratament prin completare într-un registru după modelul de mai jos: </w:t>
      </w:r>
    </w:p>
    <w:p w:rsidR="00C72117" w:rsidRPr="00302720" w:rsidRDefault="00C72117" w:rsidP="00C721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Nume și prenume fermier/ societate comercială…... </w:t>
      </w:r>
    </w:p>
    <w:p w:rsidR="00C72117" w:rsidRPr="00302720" w:rsidRDefault="00C72117" w:rsidP="00C721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Domiciliu fermier/sediul social al societății……. (Comuna, județul) </w:t>
      </w:r>
    </w:p>
    <w:p w:rsidR="00C72117" w:rsidRPr="00302720" w:rsidRDefault="00C72117" w:rsidP="00C721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Ferma (nume/număr,adresa)……. </w:t>
      </w:r>
    </w:p>
    <w:p w:rsidR="00C72117" w:rsidRPr="00302720" w:rsidRDefault="00C72117" w:rsidP="00C721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>Toate tratamentele cu produse de protecți</w:t>
      </w:r>
      <w:r>
        <w:rPr>
          <w:rFonts w:ascii="Times New Roman" w:hAnsi="Times New Roman" w:cs="Times New Roman"/>
          <w:sz w:val="24"/>
          <w:szCs w:val="24"/>
          <w:lang w:val="pt-BR"/>
        </w:rPr>
        <w:t>e a</w:t>
      </w: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 plantelor se completează la zi </w:t>
      </w:r>
      <w:r>
        <w:rPr>
          <w:rFonts w:ascii="Times New Roman" w:hAnsi="Times New Roman" w:cs="Times New Roman"/>
          <w:sz w:val="24"/>
          <w:szCs w:val="24"/>
          <w:lang w:val="pt-BR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pt-BR"/>
        </w:rPr>
        <w:t xml:space="preserve">n: </w:t>
      </w:r>
    </w:p>
    <w:p w:rsidR="00C72117" w:rsidRPr="00302720" w:rsidRDefault="00C72117" w:rsidP="00C721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t-BR"/>
        </w:rPr>
      </w:pPr>
      <w:r w:rsidRPr="00302720">
        <w:rPr>
          <w:rFonts w:ascii="Times New Roman" w:hAnsi="Times New Roman" w:cs="Times New Roman"/>
          <w:sz w:val="24"/>
          <w:szCs w:val="24"/>
          <w:lang w:val="pt-BR"/>
        </w:rPr>
        <w:t>Registrul de evidență a tratamentelor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cu produse de protecție a plantelor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716"/>
        <w:gridCol w:w="952"/>
        <w:gridCol w:w="794"/>
        <w:gridCol w:w="992"/>
        <w:gridCol w:w="992"/>
        <w:gridCol w:w="765"/>
        <w:gridCol w:w="709"/>
        <w:gridCol w:w="709"/>
        <w:gridCol w:w="850"/>
        <w:gridCol w:w="1134"/>
        <w:gridCol w:w="851"/>
        <w:gridCol w:w="957"/>
      </w:tblGrid>
      <w:tr w:rsidR="00C72117" w:rsidRPr="00302720" w:rsidTr="00F80687">
        <w:trPr>
          <w:trHeight w:val="265"/>
          <w:jc w:val="center"/>
        </w:trPr>
        <w:tc>
          <w:tcPr>
            <w:tcW w:w="716" w:type="dxa"/>
            <w:vMerge w:val="restart"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Data efectuării trata</w:t>
            </w:r>
          </w:p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mentu</w:t>
            </w:r>
          </w:p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lui</w:t>
            </w:r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(ziua, luna, anul)</w:t>
            </w:r>
          </w:p>
        </w:tc>
        <w:tc>
          <w:tcPr>
            <w:tcW w:w="952" w:type="dxa"/>
            <w:vMerge w:val="restart"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Cultura și locul unde este situat terenul</w:t>
            </w:r>
          </w:p>
        </w:tc>
        <w:tc>
          <w:tcPr>
            <w:tcW w:w="794" w:type="dxa"/>
            <w:vMerge w:val="restart"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Timpul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(fenofaza) </w:t>
            </w: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aplică</w:t>
            </w:r>
          </w:p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rii</w:t>
            </w:r>
          </w:p>
        </w:tc>
        <w:tc>
          <w:tcPr>
            <w:tcW w:w="5017" w:type="dxa"/>
            <w:gridSpan w:val="6"/>
          </w:tcPr>
          <w:p w:rsidR="00C72117" w:rsidRPr="00302720" w:rsidRDefault="00C72117" w:rsidP="00F80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Tratamentulefectuat</w:t>
            </w:r>
          </w:p>
        </w:tc>
        <w:tc>
          <w:tcPr>
            <w:tcW w:w="1134" w:type="dxa"/>
            <w:vMerge w:val="restart"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Numele persoanei responsa- bile pentru efectuarea tatamentului. </w:t>
            </w: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Semnătura</w:t>
            </w:r>
          </w:p>
        </w:tc>
        <w:tc>
          <w:tcPr>
            <w:tcW w:w="851" w:type="dxa"/>
            <w:vMerge w:val="restart"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Data </w:t>
            </w:r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î</w:t>
            </w: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nceperii recol- tării produ- sului agricol</w:t>
            </w:r>
          </w:p>
        </w:tc>
        <w:tc>
          <w:tcPr>
            <w:tcW w:w="957" w:type="dxa"/>
            <w:vMerge w:val="restart"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Nr și data doc prin care s-a dat in consumpopulației</w:t>
            </w:r>
          </w:p>
        </w:tc>
      </w:tr>
      <w:tr w:rsidR="00C72117" w:rsidRPr="00302720" w:rsidTr="00F80687">
        <w:trPr>
          <w:trHeight w:val="265"/>
          <w:jc w:val="center"/>
        </w:trPr>
        <w:tc>
          <w:tcPr>
            <w:tcW w:w="716" w:type="dxa"/>
            <w:vMerge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Agenti de dăunare combătuți</w:t>
            </w:r>
          </w:p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Boli / dăunători/ buruieni</w:t>
            </w:r>
          </w:p>
        </w:tc>
        <w:tc>
          <w:tcPr>
            <w:tcW w:w="992" w:type="dxa"/>
            <w:vMerge w:val="restart"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Denumire produs de protecție a plantelor folosit</w:t>
            </w:r>
          </w:p>
        </w:tc>
        <w:tc>
          <w:tcPr>
            <w:tcW w:w="1474" w:type="dxa"/>
            <w:gridSpan w:val="2"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Doza :</w:t>
            </w:r>
          </w:p>
        </w:tc>
        <w:tc>
          <w:tcPr>
            <w:tcW w:w="709" w:type="dxa"/>
            <w:vMerge w:val="restart"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Supra-fața</w:t>
            </w:r>
          </w:p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(ha)</w:t>
            </w:r>
          </w:p>
        </w:tc>
        <w:tc>
          <w:tcPr>
            <w:tcW w:w="850" w:type="dxa"/>
            <w:vMerge w:val="restart"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Cantitățiutilizate</w:t>
            </w:r>
          </w:p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(kg/litri)</w:t>
            </w:r>
          </w:p>
        </w:tc>
        <w:tc>
          <w:tcPr>
            <w:tcW w:w="1134" w:type="dxa"/>
            <w:vMerge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2117" w:rsidRPr="00302720" w:rsidTr="00F80687">
        <w:trPr>
          <w:trHeight w:val="265"/>
          <w:jc w:val="center"/>
        </w:trPr>
        <w:tc>
          <w:tcPr>
            <w:tcW w:w="716" w:type="dxa"/>
            <w:vMerge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Omolo gată</w:t>
            </w:r>
          </w:p>
        </w:tc>
        <w:tc>
          <w:tcPr>
            <w:tcW w:w="709" w:type="dxa"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hAnsi="Times New Roman" w:cs="Times New Roman"/>
                <w:sz w:val="18"/>
                <w:szCs w:val="18"/>
              </w:rPr>
              <w:t>Folosită</w:t>
            </w:r>
          </w:p>
        </w:tc>
        <w:tc>
          <w:tcPr>
            <w:tcW w:w="709" w:type="dxa"/>
            <w:vMerge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C72117" w:rsidRPr="00302720" w:rsidRDefault="00C72117" w:rsidP="00F806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72117" w:rsidRPr="00302720" w:rsidRDefault="00C72117" w:rsidP="00C72117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ro-RO"/>
        </w:rPr>
      </w:pPr>
    </w:p>
    <w:p w:rsidR="00C72117" w:rsidRPr="00302720" w:rsidRDefault="00C72117" w:rsidP="00C721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Conform Reg. CE nr.1107/2009, art. 67 (1) producătorul agricol numerotează paginile registrului. Pe spatele registrului (pe ultima pagină) se menționează câte pagini conține registrul, purtând semnătura și ștampila după caz a fermierului sau administratorului societății. Inspectorii Oficiului Fitosanitar pot sancționa fermierul, conform HG nr. 1230 din 12 decembrie 2012 privind stabilirea unor măsuri pentru aplicarea prevederilor Regulamentului (CE) nr. 1107/2009 al Parlamentului European și al Consiliului din 21 octombrie 2009 privind introducerea pe piață a produselor fitosanitare și de abrogare a Directivelor 79/117/CEE si 91/414/CEE ale Consiliului, art. 3, pct. 1 (i), (1). Constituie contravenții următoarele fapte: i.) nerespectarea de către utilizatorii profesioniști a prevederilor art.67 alin. (1) din Regulamentul (CE) nr. 1107/2009 privind menținerea evidenței pe o perioadă de cel puțin 3 ani a produselor de protecție a plantelor pe care le utilizează (se sancționează cu amendă de la 8.000 lei la 10.000 lei). </w:t>
      </w:r>
    </w:p>
    <w:p w:rsidR="00C72117" w:rsidRPr="00302720" w:rsidRDefault="00C72117" w:rsidP="00C72117">
      <w:pPr>
        <w:spacing w:after="0" w:line="240" w:lineRule="auto"/>
        <w:ind w:firstLine="708"/>
        <w:rPr>
          <w:rFonts w:ascii="Times New Roman" w:hAnsi="Times New Roman" w:cs="Times New Roman"/>
          <w:caps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ATENȚIA FERMIERILOR !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 Se vor respecta normele de ecocondiționalitate prevăzute în Ordinul nr. 869/2016. Se vor respecta condițiile de depozitare, manipulare și utilizare a produselor de protecție a plantelor în exploatațiile agricole, conform Ghidului de bune practici de utilizare și depozitare a produselor de protecția plantelor, </w:t>
      </w:r>
      <w:hyperlink r:id="rId12" w:history="1">
        <w:r w:rsidRPr="00302720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ro-RO"/>
          </w:rPr>
          <w:t>https://www.anfdf.ro/sanatate/ghid/ghiduri.html</w:t>
        </w:r>
      </w:hyperlink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elaborate de Autoritatea  Națională Fitosanitară.</w:t>
      </w:r>
    </w:p>
    <w:p w:rsidR="00C72117" w:rsidRDefault="00C72117" w:rsidP="00C72117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lang w:val="pt-BR"/>
        </w:rPr>
      </w:pPr>
    </w:p>
    <w:p w:rsidR="00510CC1" w:rsidRPr="00FE09BF" w:rsidRDefault="00510CC1" w:rsidP="00CF6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606585" w:rsidRPr="00FE09BF" w:rsidRDefault="006C4831" w:rsidP="00CF6D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E09BF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>
            <wp:extent cx="5153025" cy="1295400"/>
            <wp:effectExtent l="0" t="0" r="0" b="0"/>
            <wp:docPr id="140444064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585" w:rsidRPr="00FE09BF" w:rsidSect="003433D0">
      <w:type w:val="continuous"/>
      <w:pgSz w:w="12240" w:h="15840"/>
      <w:pgMar w:top="144" w:right="288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CE5360"/>
    <w:rsid w:val="00007791"/>
    <w:rsid w:val="00033CAB"/>
    <w:rsid w:val="00072C2B"/>
    <w:rsid w:val="000B252E"/>
    <w:rsid w:val="000B71D0"/>
    <w:rsid w:val="000D774B"/>
    <w:rsid w:val="000F58A7"/>
    <w:rsid w:val="000F7D3E"/>
    <w:rsid w:val="00100FD5"/>
    <w:rsid w:val="00102B40"/>
    <w:rsid w:val="00117DC4"/>
    <w:rsid w:val="00124CCA"/>
    <w:rsid w:val="00131757"/>
    <w:rsid w:val="00136E50"/>
    <w:rsid w:val="00137606"/>
    <w:rsid w:val="00171749"/>
    <w:rsid w:val="00191832"/>
    <w:rsid w:val="001C1970"/>
    <w:rsid w:val="001D47E2"/>
    <w:rsid w:val="00244C19"/>
    <w:rsid w:val="00266E28"/>
    <w:rsid w:val="00273348"/>
    <w:rsid w:val="002A6B5C"/>
    <w:rsid w:val="002D4296"/>
    <w:rsid w:val="00322D2B"/>
    <w:rsid w:val="0033735A"/>
    <w:rsid w:val="003433D0"/>
    <w:rsid w:val="0034794B"/>
    <w:rsid w:val="00354E97"/>
    <w:rsid w:val="00384534"/>
    <w:rsid w:val="003C4322"/>
    <w:rsid w:val="003F41E2"/>
    <w:rsid w:val="00410D27"/>
    <w:rsid w:val="00426965"/>
    <w:rsid w:val="00446C5F"/>
    <w:rsid w:val="00461843"/>
    <w:rsid w:val="0047026D"/>
    <w:rsid w:val="004A5134"/>
    <w:rsid w:val="004C1149"/>
    <w:rsid w:val="004C679F"/>
    <w:rsid w:val="004E6E6B"/>
    <w:rsid w:val="004F7602"/>
    <w:rsid w:val="00507793"/>
    <w:rsid w:val="00510CC1"/>
    <w:rsid w:val="00582DEE"/>
    <w:rsid w:val="00590CC7"/>
    <w:rsid w:val="005D4E9D"/>
    <w:rsid w:val="005D5ED8"/>
    <w:rsid w:val="005E1BC2"/>
    <w:rsid w:val="005F0011"/>
    <w:rsid w:val="00606585"/>
    <w:rsid w:val="006257F2"/>
    <w:rsid w:val="00641178"/>
    <w:rsid w:val="00646D62"/>
    <w:rsid w:val="00662D1D"/>
    <w:rsid w:val="00680DB2"/>
    <w:rsid w:val="0069307C"/>
    <w:rsid w:val="006C4831"/>
    <w:rsid w:val="006D7F3A"/>
    <w:rsid w:val="006E5906"/>
    <w:rsid w:val="006E6845"/>
    <w:rsid w:val="00712276"/>
    <w:rsid w:val="00714F98"/>
    <w:rsid w:val="0073598E"/>
    <w:rsid w:val="0074598E"/>
    <w:rsid w:val="0075383F"/>
    <w:rsid w:val="00756B3A"/>
    <w:rsid w:val="00767383"/>
    <w:rsid w:val="007D633A"/>
    <w:rsid w:val="007E2C43"/>
    <w:rsid w:val="00830519"/>
    <w:rsid w:val="00863DB1"/>
    <w:rsid w:val="008C4755"/>
    <w:rsid w:val="008F068D"/>
    <w:rsid w:val="008F201E"/>
    <w:rsid w:val="00922488"/>
    <w:rsid w:val="00A35C29"/>
    <w:rsid w:val="00A449B7"/>
    <w:rsid w:val="00B162EF"/>
    <w:rsid w:val="00B43CD2"/>
    <w:rsid w:val="00BA611D"/>
    <w:rsid w:val="00BC7FB6"/>
    <w:rsid w:val="00C72117"/>
    <w:rsid w:val="00CA0A46"/>
    <w:rsid w:val="00CE5360"/>
    <w:rsid w:val="00CF6DE7"/>
    <w:rsid w:val="00CF72A4"/>
    <w:rsid w:val="00D20A33"/>
    <w:rsid w:val="00D30A8B"/>
    <w:rsid w:val="00D57158"/>
    <w:rsid w:val="00D74C72"/>
    <w:rsid w:val="00DD3FAB"/>
    <w:rsid w:val="00DD4050"/>
    <w:rsid w:val="00DF306A"/>
    <w:rsid w:val="00E261BD"/>
    <w:rsid w:val="00E517CE"/>
    <w:rsid w:val="00E7574C"/>
    <w:rsid w:val="00EA6EAD"/>
    <w:rsid w:val="00EB2356"/>
    <w:rsid w:val="00EF2C3D"/>
    <w:rsid w:val="00F0463C"/>
    <w:rsid w:val="00F40A12"/>
    <w:rsid w:val="00F7413A"/>
    <w:rsid w:val="00F76575"/>
    <w:rsid w:val="00FA7D18"/>
    <w:rsid w:val="00FB6D52"/>
    <w:rsid w:val="00FE09BF"/>
    <w:rsid w:val="00FE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60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1D4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1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D4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71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71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7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D47E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D47E2"/>
    <w:rPr>
      <w:b/>
      <w:bCs/>
    </w:rPr>
  </w:style>
  <w:style w:type="character" w:styleId="Hyperlink">
    <w:name w:val="Hyperlink"/>
    <w:basedOn w:val="DefaultParagraphFont"/>
    <w:rsid w:val="00CE5360"/>
    <w:rPr>
      <w:color w:val="0000FF"/>
      <w:u w:val="single"/>
    </w:rPr>
  </w:style>
  <w:style w:type="paragraph" w:styleId="NoSpacing">
    <w:name w:val="No Spacing"/>
    <w:uiPriority w:val="1"/>
    <w:qFormat/>
    <w:rsid w:val="00CE5360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60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765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7657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571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571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D5715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57158"/>
    <w:rPr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1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71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571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71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rsid w:val="00D571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ormalWebChar">
    <w:name w:val="Normal (Web) Char"/>
    <w:basedOn w:val="DefaultParagraphFont"/>
    <w:link w:val="NormalWeb"/>
    <w:locked/>
    <w:rsid w:val="00EB235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EB235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77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07791"/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007791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anfdf.ro/sanatate/ghid/ghidur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madr.ro/norme-de-eco-conditionalitate-in-domeniul-fitosanitar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33A69-DBA5-4BA1-A255-1887E858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1718</Words>
  <Characters>9969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FITOSANITAR</cp:lastModifiedBy>
  <cp:revision>6</cp:revision>
  <cp:lastPrinted>2025-04-17T12:47:00Z</cp:lastPrinted>
  <dcterms:created xsi:type="dcterms:W3CDTF">2026-04-27T12:33:00Z</dcterms:created>
  <dcterms:modified xsi:type="dcterms:W3CDTF">2026-06-24T09:41:00Z</dcterms:modified>
</cp:coreProperties>
</file>