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B19C6" w14:textId="73AD86E7" w:rsidR="00B46679" w:rsidRDefault="00B46679" w:rsidP="00B46679">
      <w:pPr>
        <w:spacing w:after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Nr.</w:t>
      </w:r>
      <w:r w:rsidR="00A83126">
        <w:rPr>
          <w:rFonts w:ascii="Times New Roman" w:hAnsi="Times New Roman" w:cs="Times New Roman"/>
          <w:lang w:val="ro-RO"/>
        </w:rPr>
        <w:t xml:space="preserve"> 99</w:t>
      </w:r>
      <w:r w:rsidR="00C757D8">
        <w:rPr>
          <w:rFonts w:ascii="Times New Roman" w:hAnsi="Times New Roman" w:cs="Times New Roman"/>
          <w:lang w:val="ro-RO"/>
        </w:rPr>
        <w:t xml:space="preserve"> / </w:t>
      </w:r>
      <w:r w:rsidR="00A83126">
        <w:rPr>
          <w:rFonts w:ascii="Times New Roman" w:hAnsi="Times New Roman" w:cs="Times New Roman"/>
          <w:lang w:val="ro-RO"/>
        </w:rPr>
        <w:t>30</w:t>
      </w:r>
      <w:r>
        <w:rPr>
          <w:rFonts w:ascii="Times New Roman" w:hAnsi="Times New Roman" w:cs="Times New Roman"/>
          <w:lang w:val="ro-RO"/>
        </w:rPr>
        <w:t>.0</w:t>
      </w:r>
      <w:r w:rsidR="00024888">
        <w:rPr>
          <w:rFonts w:ascii="Times New Roman" w:hAnsi="Times New Roman" w:cs="Times New Roman"/>
          <w:lang w:val="ro-RO"/>
        </w:rPr>
        <w:t>3</w:t>
      </w:r>
      <w:r>
        <w:rPr>
          <w:rFonts w:ascii="Times New Roman" w:hAnsi="Times New Roman" w:cs="Times New Roman"/>
          <w:lang w:val="ro-RO"/>
        </w:rPr>
        <w:t>.202</w:t>
      </w:r>
      <w:r w:rsidR="00DA2266">
        <w:rPr>
          <w:rFonts w:ascii="Times New Roman" w:hAnsi="Times New Roman" w:cs="Times New Roman"/>
          <w:lang w:val="ro-RO"/>
        </w:rPr>
        <w:t>6</w:t>
      </w:r>
    </w:p>
    <w:p w14:paraId="2A43B235" w14:textId="77777777" w:rsidR="00C757D8" w:rsidRDefault="00B46679" w:rsidP="00B46679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E91543">
        <w:rPr>
          <w:rFonts w:ascii="Times New Roman" w:hAnsi="Times New Roman" w:cs="Times New Roman"/>
          <w:b/>
          <w:lang w:val="ro-RO"/>
        </w:rPr>
        <w:t xml:space="preserve">BULETIN DE AVERTIZARE </w:t>
      </w:r>
    </w:p>
    <w:p w14:paraId="590F814B" w14:textId="77777777" w:rsidR="002F2E43" w:rsidRDefault="002F2E43" w:rsidP="00B46679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p w14:paraId="76E4E4A7" w14:textId="319C54E2" w:rsidR="005058BF" w:rsidRDefault="00B46679" w:rsidP="002F2E4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E91543">
        <w:rPr>
          <w:rFonts w:ascii="Times New Roman" w:hAnsi="Times New Roman" w:cs="Times New Roman"/>
          <w:b/>
          <w:lang w:val="ro-RO"/>
        </w:rPr>
        <w:t xml:space="preserve">Nr. </w:t>
      </w:r>
      <w:r w:rsidR="00ED6AC8">
        <w:rPr>
          <w:rFonts w:ascii="Times New Roman" w:hAnsi="Times New Roman" w:cs="Times New Roman"/>
          <w:b/>
          <w:lang w:val="ro-RO"/>
        </w:rPr>
        <w:t>9</w:t>
      </w:r>
      <w:r w:rsidR="005D4BE2">
        <w:rPr>
          <w:rFonts w:ascii="Times New Roman" w:hAnsi="Times New Roman" w:cs="Times New Roman"/>
          <w:b/>
          <w:lang w:val="ro-RO"/>
        </w:rPr>
        <w:t xml:space="preserve"> din</w:t>
      </w:r>
      <w:r w:rsidR="00C757D8">
        <w:rPr>
          <w:rFonts w:ascii="Times New Roman" w:hAnsi="Times New Roman" w:cs="Times New Roman"/>
          <w:b/>
          <w:lang w:val="ro-RO"/>
        </w:rPr>
        <w:t xml:space="preserve"> </w:t>
      </w:r>
      <w:r w:rsidR="00A83126">
        <w:rPr>
          <w:rFonts w:ascii="Times New Roman" w:hAnsi="Times New Roman" w:cs="Times New Roman"/>
          <w:b/>
          <w:lang w:val="ro-RO"/>
        </w:rPr>
        <w:t>30</w:t>
      </w:r>
      <w:r w:rsidRPr="00E91543">
        <w:rPr>
          <w:rFonts w:ascii="Times New Roman" w:hAnsi="Times New Roman" w:cs="Times New Roman"/>
          <w:b/>
          <w:lang w:val="ro-RO"/>
        </w:rPr>
        <w:t>.0</w:t>
      </w:r>
      <w:r w:rsidR="00024888">
        <w:rPr>
          <w:rFonts w:ascii="Times New Roman" w:hAnsi="Times New Roman" w:cs="Times New Roman"/>
          <w:b/>
          <w:lang w:val="ro-RO"/>
        </w:rPr>
        <w:t>3</w:t>
      </w:r>
      <w:r w:rsidRPr="00E91543">
        <w:rPr>
          <w:rFonts w:ascii="Times New Roman" w:hAnsi="Times New Roman" w:cs="Times New Roman"/>
          <w:b/>
          <w:lang w:val="ro-RO"/>
        </w:rPr>
        <w:t>.202</w:t>
      </w:r>
      <w:r w:rsidR="00024888">
        <w:rPr>
          <w:rFonts w:ascii="Times New Roman" w:hAnsi="Times New Roman" w:cs="Times New Roman"/>
          <w:b/>
          <w:lang w:val="ro-RO"/>
        </w:rPr>
        <w:t>6</w:t>
      </w:r>
    </w:p>
    <w:p w14:paraId="27C5BD95" w14:textId="77777777" w:rsidR="002F2E43" w:rsidRPr="002F2E43" w:rsidRDefault="002F2E43" w:rsidP="002F2E4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</w:p>
    <w:p w14:paraId="4624D1BB" w14:textId="4E83F39A" w:rsidR="00E40080" w:rsidRDefault="00E40080" w:rsidP="0076553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lang w:val="ro-RO"/>
        </w:rPr>
      </w:pPr>
      <w:r w:rsidRPr="00DA035C">
        <w:rPr>
          <w:rFonts w:ascii="Times New Roman" w:hAnsi="Times New Roman" w:cs="Times New Roman"/>
          <w:b/>
          <w:bCs/>
          <w:lang w:val="ro-RO"/>
        </w:rPr>
        <w:t xml:space="preserve">Pentru combaterea agentului dăunător: </w:t>
      </w:r>
      <w:r w:rsidR="00C757D8">
        <w:rPr>
          <w:rFonts w:ascii="Times New Roman" w:hAnsi="Times New Roman" w:cs="Times New Roman"/>
          <w:b/>
          <w:iCs/>
          <w:lang w:val="ro-RO"/>
        </w:rPr>
        <w:t>G</w:t>
      </w:r>
      <w:r w:rsidR="00DA035C" w:rsidRPr="00DA035C">
        <w:rPr>
          <w:rFonts w:ascii="Times New Roman" w:hAnsi="Times New Roman" w:cs="Times New Roman"/>
          <w:b/>
          <w:iCs/>
          <w:lang w:val="ro-RO"/>
        </w:rPr>
        <w:t>ărgărița</w:t>
      </w:r>
      <w:r w:rsidR="00C757D8">
        <w:rPr>
          <w:rFonts w:ascii="Times New Roman" w:hAnsi="Times New Roman" w:cs="Times New Roman"/>
          <w:b/>
          <w:iCs/>
          <w:lang w:val="ro-RO"/>
        </w:rPr>
        <w:t xml:space="preserve"> </w:t>
      </w:r>
      <w:r w:rsidR="00DA035C" w:rsidRPr="00DA035C">
        <w:rPr>
          <w:rFonts w:ascii="Times New Roman" w:hAnsi="Times New Roman" w:cs="Times New Roman"/>
          <w:b/>
          <w:iCs/>
          <w:lang w:val="ro-RO"/>
        </w:rPr>
        <w:t xml:space="preserve">florilor de  </w:t>
      </w:r>
      <w:r w:rsidR="00DA035C" w:rsidRPr="00DA035C">
        <w:rPr>
          <w:rFonts w:ascii="Times New Roman" w:hAnsi="Times New Roman" w:cs="Times New Roman"/>
          <w:b/>
          <w:lang w:val="ro-RO"/>
        </w:rPr>
        <w:t>măr</w:t>
      </w:r>
      <w:r w:rsidR="00C757D8">
        <w:rPr>
          <w:rFonts w:ascii="Times New Roman" w:hAnsi="Times New Roman" w:cs="Times New Roman"/>
          <w:lang w:val="ro-RO"/>
        </w:rPr>
        <w:t xml:space="preserve"> (</w:t>
      </w:r>
      <w:r w:rsidRPr="00DA035C">
        <w:rPr>
          <w:rFonts w:ascii="Times New Roman" w:hAnsi="Times New Roman" w:cs="Times New Roman"/>
          <w:i/>
          <w:iCs/>
          <w:lang w:val="ro-RO"/>
        </w:rPr>
        <w:t>Anthonomus pomorum</w:t>
      </w:r>
      <w:r w:rsidR="00C757D8">
        <w:rPr>
          <w:rFonts w:ascii="Times New Roman" w:hAnsi="Times New Roman" w:cs="Times New Roman"/>
          <w:lang w:val="ro-RO"/>
        </w:rPr>
        <w:t>)</w:t>
      </w:r>
      <w:r w:rsidR="00DA035C" w:rsidRPr="00DA035C">
        <w:rPr>
          <w:rFonts w:ascii="Times New Roman" w:hAnsi="Times New Roman" w:cs="Times New Roman"/>
          <w:lang w:val="ro-RO"/>
        </w:rPr>
        <w:t>,</w:t>
      </w:r>
      <w:r w:rsidR="00C757D8">
        <w:rPr>
          <w:rFonts w:ascii="Times New Roman" w:hAnsi="Times New Roman" w:cs="Times New Roman"/>
          <w:lang w:val="ro-RO"/>
        </w:rPr>
        <w:t xml:space="preserve"> </w:t>
      </w:r>
      <w:r w:rsidR="00C757D8">
        <w:rPr>
          <w:rFonts w:ascii="Times New Roman" w:hAnsi="Times New Roman" w:cs="Times New Roman"/>
          <w:b/>
          <w:lang w:val="ro-RO"/>
        </w:rPr>
        <w:t>G</w:t>
      </w:r>
      <w:r w:rsidR="00A267A7">
        <w:rPr>
          <w:rFonts w:ascii="Times New Roman" w:hAnsi="Times New Roman" w:cs="Times New Roman"/>
          <w:b/>
          <w:lang w:val="ro-RO"/>
        </w:rPr>
        <w:t xml:space="preserve">ărgărița florilor de </w:t>
      </w:r>
      <w:r w:rsidR="00A267A7" w:rsidRPr="00C757D8">
        <w:rPr>
          <w:rFonts w:ascii="Times New Roman" w:hAnsi="Times New Roman" w:cs="Times New Roman"/>
          <w:b/>
          <w:lang w:val="ro-RO"/>
        </w:rPr>
        <w:t>păr</w:t>
      </w:r>
      <w:r w:rsidR="00C757D8">
        <w:rPr>
          <w:rFonts w:ascii="Times New Roman" w:hAnsi="Times New Roman" w:cs="Times New Roman"/>
          <w:b/>
          <w:lang w:val="ro-RO"/>
        </w:rPr>
        <w:t xml:space="preserve"> (</w:t>
      </w:r>
      <w:r w:rsidR="00A267A7" w:rsidRPr="00C757D8">
        <w:rPr>
          <w:rFonts w:ascii="Times New Roman" w:hAnsi="Times New Roman" w:cs="Times New Roman"/>
          <w:i/>
          <w:iCs/>
          <w:lang w:val="ro-RO"/>
        </w:rPr>
        <w:t>Anthonomus</w:t>
      </w:r>
      <w:r w:rsidR="00A267A7" w:rsidRPr="00A267A7">
        <w:rPr>
          <w:rFonts w:ascii="Times New Roman" w:hAnsi="Times New Roman" w:cs="Times New Roman"/>
          <w:i/>
          <w:lang w:val="ro-RO"/>
        </w:rPr>
        <w:t xml:space="preserve"> pyri</w:t>
      </w:r>
      <w:r w:rsidR="00C757D8">
        <w:rPr>
          <w:rFonts w:ascii="Times New Roman" w:hAnsi="Times New Roman" w:cs="Times New Roman"/>
          <w:iCs/>
          <w:lang w:val="ro-RO"/>
        </w:rPr>
        <w:t>)</w:t>
      </w:r>
      <w:r w:rsidR="00C757D8">
        <w:rPr>
          <w:rFonts w:ascii="Times New Roman" w:hAnsi="Times New Roman" w:cs="Times New Roman"/>
          <w:i/>
          <w:lang w:val="ro-RO"/>
        </w:rPr>
        <w:t xml:space="preserve"> </w:t>
      </w:r>
      <w:r w:rsidR="00BA388E">
        <w:rPr>
          <w:rFonts w:ascii="Times New Roman" w:hAnsi="Times New Roman" w:cs="Times New Roman"/>
          <w:lang w:val="ro-RO"/>
        </w:rPr>
        <w:t>și</w:t>
      </w:r>
      <w:r w:rsidR="00E01079">
        <w:rPr>
          <w:rFonts w:ascii="Times New Roman" w:hAnsi="Times New Roman" w:cs="Times New Roman"/>
          <w:lang w:val="ro-RO"/>
        </w:rPr>
        <w:t xml:space="preserve"> a</w:t>
      </w:r>
      <w:r w:rsidR="00C757D8">
        <w:rPr>
          <w:rFonts w:ascii="Times New Roman" w:hAnsi="Times New Roman" w:cs="Times New Roman"/>
          <w:lang w:val="ro-RO"/>
        </w:rPr>
        <w:t xml:space="preserve"> </w:t>
      </w:r>
      <w:r w:rsidR="00C757D8">
        <w:rPr>
          <w:rFonts w:ascii="Times New Roman" w:hAnsi="Times New Roman" w:cs="Times New Roman"/>
          <w:b/>
          <w:lang w:val="ro-RO"/>
        </w:rPr>
        <w:t>F</w:t>
      </w:r>
      <w:r w:rsidR="00BA388E" w:rsidRPr="005D6A74">
        <w:rPr>
          <w:rFonts w:ascii="Times New Roman" w:hAnsi="Times New Roman" w:cs="Times New Roman"/>
          <w:b/>
          <w:lang w:val="ro-RO"/>
        </w:rPr>
        <w:t>ăinării</w:t>
      </w:r>
      <w:r w:rsidR="00C757D8">
        <w:rPr>
          <w:rFonts w:ascii="Times New Roman" w:hAnsi="Times New Roman" w:cs="Times New Roman"/>
          <w:i/>
          <w:lang w:val="ro-RO"/>
        </w:rPr>
        <w:t xml:space="preserve"> </w:t>
      </w:r>
      <w:r w:rsidR="00C757D8">
        <w:rPr>
          <w:rFonts w:ascii="Times New Roman" w:hAnsi="Times New Roman" w:cs="Times New Roman"/>
          <w:iCs/>
          <w:lang w:val="ro-RO"/>
        </w:rPr>
        <w:t>(</w:t>
      </w:r>
      <w:r w:rsidR="00024888">
        <w:rPr>
          <w:rFonts w:ascii="Times New Roman" w:hAnsi="Times New Roman" w:cs="Times New Roman"/>
          <w:i/>
          <w:lang w:val="ro-RO"/>
        </w:rPr>
        <w:t xml:space="preserve"> </w:t>
      </w:r>
      <w:r w:rsidR="005D6A74">
        <w:rPr>
          <w:rFonts w:ascii="Times New Roman" w:hAnsi="Times New Roman" w:cs="Times New Roman"/>
          <w:i/>
          <w:lang w:val="ro-RO"/>
        </w:rPr>
        <w:t>Podosphaera leucotricha</w:t>
      </w:r>
      <w:r w:rsidR="00C757D8">
        <w:rPr>
          <w:rFonts w:ascii="Times New Roman" w:hAnsi="Times New Roman" w:cs="Times New Roman"/>
          <w:lang w:val="ro-RO"/>
        </w:rPr>
        <w:t>).</w:t>
      </w:r>
    </w:p>
    <w:p w14:paraId="0D8EBE8A" w14:textId="05DE0617" w:rsidR="004A18AC" w:rsidRDefault="004A18AC" w:rsidP="009365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o-RO"/>
        </w:rPr>
        <w:sectPr w:rsidR="004A18AC" w:rsidSect="00111B69">
          <w:headerReference w:type="default" r:id="rId7"/>
          <w:type w:val="continuous"/>
          <w:pgSz w:w="11906" w:h="16838"/>
          <w:pgMar w:top="567" w:right="567" w:bottom="567" w:left="1134" w:header="227" w:footer="170" w:gutter="0"/>
          <w:cols w:space="708"/>
          <w:docGrid w:linePitch="360"/>
        </w:sectPr>
      </w:pPr>
    </w:p>
    <w:p w14:paraId="3830722D" w14:textId="494B6A31" w:rsidR="00C95C48" w:rsidRPr="00ED6AC8" w:rsidRDefault="00C540C7" w:rsidP="002F2E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lang w:val="pt-BR"/>
        </w:rPr>
      </w:pPr>
      <w:r w:rsidRPr="00ED6AC8">
        <w:rPr>
          <w:rFonts w:ascii="Times New Roman" w:hAnsi="Times New Roman" w:cs="Times New Roman"/>
          <w:b/>
          <w:lang w:val="ro-RO"/>
        </w:rPr>
        <w:t>Gărgăriţei florilor de măr</w:t>
      </w:r>
      <w:r w:rsidR="00C757D8">
        <w:rPr>
          <w:rFonts w:ascii="Times New Roman" w:hAnsi="Times New Roman" w:cs="Times New Roman"/>
          <w:b/>
          <w:lang w:val="ro-RO"/>
        </w:rPr>
        <w:t xml:space="preserve"> </w:t>
      </w:r>
      <w:r w:rsidRPr="00ED6AC8">
        <w:rPr>
          <w:rFonts w:ascii="Times New Roman" w:hAnsi="Times New Roman" w:cs="Times New Roman"/>
          <w:i/>
          <w:lang w:val="ro-RO"/>
        </w:rPr>
        <w:t>(Anthonomus pomorum),</w:t>
      </w:r>
      <w:r w:rsidRPr="00ED6AC8">
        <w:rPr>
          <w:rFonts w:ascii="Times New Roman" w:hAnsi="Times New Roman" w:cs="Times New Roman"/>
          <w:lang w:val="ro-RO"/>
        </w:rPr>
        <w:t xml:space="preserve"> are o singură generație pe an și iernează ca adult în stratul superficial al solului, sub covorul de frunze de la baza trunchiului pomilor sau în crăpăturile scoarței. </w:t>
      </w:r>
      <w:r w:rsidRPr="00ED6AC8">
        <w:rPr>
          <w:rFonts w:ascii="Times New Roman" w:hAnsi="Times New Roman" w:cs="Times New Roman"/>
          <w:lang w:val="pt-BR"/>
        </w:rPr>
        <w:t xml:space="preserve">În martie-aprilie, cand temperatura ajunge la 5-6°C, apar adulții din locurile de hibernare. Momentul coincide cu aproximativ 8-10 zile </w:t>
      </w:r>
      <w:r w:rsidR="00C757D8">
        <w:rPr>
          <w:rFonts w:ascii="Times New Roman" w:hAnsi="Times New Roman" w:cs="Times New Roman"/>
          <w:lang w:val="pt-BR"/>
        </w:rPr>
        <w:t>î</w:t>
      </w:r>
      <w:r w:rsidRPr="00ED6AC8">
        <w:rPr>
          <w:rFonts w:ascii="Times New Roman" w:hAnsi="Times New Roman" w:cs="Times New Roman"/>
          <w:lang w:val="pt-BR"/>
        </w:rPr>
        <w:t>nainte de dezmugurirea merilor. Gărgărița are un regim alimentar monofag, atacă mărul, mai rar părul și gutuiul. Adulții hibernanți atacă mugurii vegetativi și floriferi iar noii adulți se hrănesc cu p</w:t>
      </w:r>
      <w:r w:rsidR="00C757D8">
        <w:rPr>
          <w:rFonts w:ascii="Times New Roman" w:hAnsi="Times New Roman" w:cs="Times New Roman"/>
          <w:lang w:val="pt-BR"/>
        </w:rPr>
        <w:t>ă</w:t>
      </w:r>
      <w:r w:rsidRPr="00ED6AC8">
        <w:rPr>
          <w:rFonts w:ascii="Times New Roman" w:hAnsi="Times New Roman" w:cs="Times New Roman"/>
          <w:lang w:val="pt-BR"/>
        </w:rPr>
        <w:t>rțile aparatului foliar. Larvele produc cele mai mari pagube, se hrănesc cu organele inte</w:t>
      </w:r>
      <w:r w:rsidR="0093657F" w:rsidRPr="00ED6AC8">
        <w:rPr>
          <w:rFonts w:ascii="Times New Roman" w:hAnsi="Times New Roman" w:cs="Times New Roman"/>
          <w:lang w:val="pt-BR"/>
        </w:rPr>
        <w:t>rne ale bobocilor florali</w:t>
      </w:r>
      <w:r w:rsidRPr="00ED6AC8">
        <w:rPr>
          <w:rFonts w:ascii="Times New Roman" w:hAnsi="Times New Roman" w:cs="Times New Roman"/>
          <w:lang w:val="pt-BR"/>
        </w:rPr>
        <w:t xml:space="preserve">. </w:t>
      </w:r>
      <w:r w:rsidR="0093657F" w:rsidRPr="00ED6AC8">
        <w:rPr>
          <w:rFonts w:ascii="Times New Roman" w:hAnsi="Times New Roman" w:cs="Times New Roman"/>
          <w:lang w:val="pt-BR"/>
        </w:rPr>
        <w:t>Aceștia devin ruginii, apoi</w:t>
      </w:r>
      <w:r w:rsidRPr="00ED6AC8">
        <w:rPr>
          <w:rFonts w:ascii="Times New Roman" w:hAnsi="Times New Roman" w:cs="Times New Roman"/>
          <w:lang w:val="pt-BR"/>
        </w:rPr>
        <w:t xml:space="preserve"> se usucă și rămân agățați, fiind cunoscuți sub denumirea de “</w:t>
      </w:r>
      <w:r w:rsidRPr="00ED6AC8">
        <w:rPr>
          <w:rFonts w:ascii="Times New Roman" w:hAnsi="Times New Roman" w:cs="Times New Roman"/>
          <w:b/>
          <w:lang w:val="pt-BR"/>
        </w:rPr>
        <w:t>cuișoare</w:t>
      </w:r>
      <w:r w:rsidRPr="00ED6AC8">
        <w:rPr>
          <w:rFonts w:ascii="Times New Roman" w:hAnsi="Times New Roman" w:cs="Times New Roman"/>
          <w:lang w:val="pt-BR"/>
        </w:rPr>
        <w:t>” sau “</w:t>
      </w:r>
      <w:r w:rsidRPr="00ED6AC8">
        <w:rPr>
          <w:rFonts w:ascii="Times New Roman" w:hAnsi="Times New Roman" w:cs="Times New Roman"/>
          <w:b/>
          <w:lang w:val="pt-BR"/>
        </w:rPr>
        <w:t>flori antonomate</w:t>
      </w:r>
      <w:r w:rsidRPr="00ED6AC8">
        <w:rPr>
          <w:rFonts w:ascii="Times New Roman" w:hAnsi="Times New Roman" w:cs="Times New Roman"/>
          <w:lang w:val="pt-BR"/>
        </w:rPr>
        <w:t xml:space="preserve">”. </w:t>
      </w:r>
      <w:r w:rsidR="0093657F" w:rsidRPr="00ED6AC8">
        <w:rPr>
          <w:rFonts w:ascii="Times New Roman" w:hAnsi="Times New Roman" w:cs="Times New Roman"/>
          <w:lang w:val="pt-BR"/>
        </w:rPr>
        <w:t>Se recomandă</w:t>
      </w:r>
      <w:r w:rsidRPr="00ED6AC8">
        <w:rPr>
          <w:rFonts w:ascii="Times New Roman" w:hAnsi="Times New Roman" w:cs="Times New Roman"/>
          <w:lang w:val="pt-BR"/>
        </w:rPr>
        <w:t xml:space="preserve"> o serie de măsuri agrofitotehnice, cum ar fi: tăierea ramurilor uscate și distrugerea prin ardere a resturilor în care se găsesc adulții hibernanți, scuturarea pomilor și distrugerea gândacilor în perioada hrănirii suplimentare a adulților hibernanți. Se pot aplica brâie-capcană sau inele cu clei amplasate în jurul trunchi</w:t>
      </w:r>
      <w:r w:rsidR="001A7F5A" w:rsidRPr="00ED6AC8">
        <w:rPr>
          <w:rFonts w:ascii="Times New Roman" w:hAnsi="Times New Roman" w:cs="Times New Roman"/>
          <w:lang w:val="pt-BR"/>
        </w:rPr>
        <w:t>urilor și ramurilor mai groase.</w:t>
      </w:r>
    </w:p>
    <w:p w14:paraId="3598EB1C" w14:textId="77777777" w:rsidR="004A18AC" w:rsidRDefault="004A18AC" w:rsidP="00C95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noProof/>
          <w:lang w:val="ro-RO" w:eastAsia="ro-RO"/>
        </w:rPr>
        <w:drawing>
          <wp:inline distT="0" distB="0" distL="0" distR="0" wp14:anchorId="3A837173" wp14:editId="5FA42563">
            <wp:extent cx="1459842" cy="1079500"/>
            <wp:effectExtent l="19050" t="0" r="7008" b="0"/>
            <wp:docPr id="1" name="Imagine 0" descr="images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363" cy="108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5C48">
        <w:rPr>
          <w:rFonts w:ascii="Times New Roman" w:hAnsi="Times New Roman" w:cs="Times New Roman"/>
          <w:b/>
          <w:noProof/>
          <w:lang w:val="ro-RO" w:eastAsia="ro-RO"/>
        </w:rPr>
        <w:drawing>
          <wp:inline distT="0" distB="0" distL="0" distR="0" wp14:anchorId="373B3449" wp14:editId="7551AEE1">
            <wp:extent cx="1492820" cy="1098550"/>
            <wp:effectExtent l="19050" t="0" r="0" b="0"/>
            <wp:docPr id="3" name="Imagine 2" descr="aolg_fn299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olg_fn29979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6110" cy="1100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064F1" w14:textId="77777777" w:rsidR="004A18AC" w:rsidRDefault="004A18AC" w:rsidP="00A5664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lang w:val="ro-RO"/>
        </w:rPr>
        <w:sectPr w:rsidR="004A18AC" w:rsidSect="00111B69">
          <w:type w:val="continuous"/>
          <w:pgSz w:w="11906" w:h="16838"/>
          <w:pgMar w:top="567" w:right="567" w:bottom="567" w:left="1134" w:header="227" w:footer="170" w:gutter="0"/>
          <w:cols w:num="2" w:space="709" w:equalWidth="0">
            <w:col w:w="7795" w:space="2"/>
            <w:col w:w="2408"/>
          </w:cols>
          <w:docGrid w:linePitch="360"/>
        </w:sectPr>
      </w:pPr>
    </w:p>
    <w:p w14:paraId="46AD4E3D" w14:textId="77777777" w:rsidR="002F6323" w:rsidRDefault="002F6323" w:rsidP="002F63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noProof/>
          <w:lang w:val="ro-RO" w:eastAsia="ro-RO"/>
        </w:rPr>
        <w:drawing>
          <wp:inline distT="0" distB="0" distL="0" distR="0" wp14:anchorId="59AEF030" wp14:editId="2741446B">
            <wp:extent cx="1479550" cy="1137708"/>
            <wp:effectExtent l="19050" t="0" r="6350" b="0"/>
            <wp:docPr id="4" name="Imagine 3" descr="Frunze-de-mar-atacate-de-faina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unze-de-mar-atacate-de-fainar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955" cy="113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F4817" w14:textId="70212806" w:rsidR="00A5664A" w:rsidRPr="00ED6AC8" w:rsidRDefault="00A5664A" w:rsidP="00A5664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b/>
          <w:lang w:val="ro-RO"/>
        </w:rPr>
        <w:t>F</w:t>
      </w:r>
      <w:r w:rsidRPr="005D6A74">
        <w:rPr>
          <w:rFonts w:ascii="Times New Roman" w:hAnsi="Times New Roman" w:cs="Times New Roman"/>
          <w:b/>
          <w:lang w:val="ro-RO"/>
        </w:rPr>
        <w:t>ăin</w:t>
      </w:r>
      <w:r>
        <w:rPr>
          <w:rFonts w:ascii="Times New Roman" w:hAnsi="Times New Roman" w:cs="Times New Roman"/>
          <w:b/>
          <w:lang w:val="ro-RO"/>
        </w:rPr>
        <w:t>area</w:t>
      </w:r>
      <w:r w:rsidR="00C757D8"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i/>
          <w:lang w:val="ro-RO"/>
        </w:rPr>
        <w:t>(Podosphaera leucotricha)</w:t>
      </w:r>
      <w:r w:rsidR="00C757D8">
        <w:rPr>
          <w:rFonts w:ascii="Times New Roman" w:hAnsi="Times New Roman" w:cs="Times New Roman"/>
          <w:lang w:val="pt-BR"/>
        </w:rPr>
        <w:t>,</w:t>
      </w:r>
      <w:r w:rsidRPr="00ED6AC8">
        <w:rPr>
          <w:rFonts w:ascii="Times New Roman" w:hAnsi="Times New Roman" w:cs="Times New Roman"/>
          <w:lang w:val="pt-BR"/>
        </w:rPr>
        <w:t xml:space="preserve"> ciuperca se transmite, de la un an la altul, prin miceliul de rezisten</w:t>
      </w:r>
      <w:r w:rsidR="00C757D8">
        <w:rPr>
          <w:rFonts w:ascii="Times New Roman" w:hAnsi="Times New Roman" w:cs="Times New Roman"/>
          <w:lang w:val="pt-BR"/>
        </w:rPr>
        <w:t>ț</w:t>
      </w:r>
      <w:r w:rsidRPr="00ED6AC8">
        <w:rPr>
          <w:rFonts w:ascii="Times New Roman" w:hAnsi="Times New Roman" w:cs="Times New Roman"/>
          <w:lang w:val="pt-BR"/>
        </w:rPr>
        <w:t xml:space="preserve">a </w:t>
      </w:r>
      <w:r w:rsidR="00C757D8">
        <w:rPr>
          <w:rFonts w:ascii="Times New Roman" w:hAnsi="Times New Roman" w:cs="Times New Roman"/>
          <w:lang w:val="pt-BR"/>
        </w:rPr>
        <w:t>î</w:t>
      </w:r>
      <w:r w:rsidRPr="00ED6AC8">
        <w:rPr>
          <w:rFonts w:ascii="Times New Roman" w:hAnsi="Times New Roman" w:cs="Times New Roman"/>
          <w:lang w:val="pt-BR"/>
        </w:rPr>
        <w:t xml:space="preserve">n solzii mugurilor. Frunzele si lăstarii sunt acoperiti cu o pulbere făinoasă de culoare albă-gălbuie, formată din organele de </w:t>
      </w:r>
      <w:r w:rsidR="00C757D8">
        <w:rPr>
          <w:rFonts w:ascii="Times New Roman" w:hAnsi="Times New Roman" w:cs="Times New Roman"/>
          <w:lang w:val="pt-BR"/>
        </w:rPr>
        <w:t>î</w:t>
      </w:r>
      <w:r w:rsidRPr="00ED6AC8">
        <w:rPr>
          <w:rFonts w:ascii="Times New Roman" w:hAnsi="Times New Roman" w:cs="Times New Roman"/>
          <w:lang w:val="pt-BR"/>
        </w:rPr>
        <w:t>nmul</w:t>
      </w:r>
      <w:r w:rsidR="00C757D8">
        <w:rPr>
          <w:rFonts w:ascii="Times New Roman" w:hAnsi="Times New Roman" w:cs="Times New Roman"/>
          <w:lang w:val="pt-BR"/>
        </w:rPr>
        <w:t>ț</w:t>
      </w:r>
      <w:r w:rsidRPr="00ED6AC8">
        <w:rPr>
          <w:rFonts w:ascii="Times New Roman" w:hAnsi="Times New Roman" w:cs="Times New Roman"/>
          <w:lang w:val="pt-BR"/>
        </w:rPr>
        <w:t xml:space="preserve">ire ale ciupercii. Frunzele rămân mici, alungite, aspre </w:t>
      </w:r>
      <w:r w:rsidR="00C757D8">
        <w:rPr>
          <w:rFonts w:ascii="Times New Roman" w:hAnsi="Times New Roman" w:cs="Times New Roman"/>
          <w:lang w:val="pt-BR"/>
        </w:rPr>
        <w:t>ș</w:t>
      </w:r>
      <w:r w:rsidRPr="00ED6AC8">
        <w:rPr>
          <w:rFonts w:ascii="Times New Roman" w:hAnsi="Times New Roman" w:cs="Times New Roman"/>
          <w:lang w:val="pt-BR"/>
        </w:rPr>
        <w:t xml:space="preserve">i cu marginile </w:t>
      </w:r>
      <w:r w:rsidR="00C757D8">
        <w:rPr>
          <w:rFonts w:ascii="Times New Roman" w:hAnsi="Times New Roman" w:cs="Times New Roman"/>
          <w:lang w:val="pt-BR"/>
        </w:rPr>
        <w:t>î</w:t>
      </w:r>
      <w:r w:rsidRPr="00ED6AC8">
        <w:rPr>
          <w:rFonts w:ascii="Times New Roman" w:hAnsi="Times New Roman" w:cs="Times New Roman"/>
          <w:lang w:val="pt-BR"/>
        </w:rPr>
        <w:t xml:space="preserve">ndoite spre partea superioară, nu cresc, se usucă și cad. </w:t>
      </w:r>
      <w:proofErr w:type="spellStart"/>
      <w:r w:rsidRPr="00A5664A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ă</w:t>
      </w:r>
      <w:r w:rsidRPr="00A5664A">
        <w:rPr>
          <w:rFonts w:ascii="Times New Roman" w:hAnsi="Times New Roman" w:cs="Times New Roman"/>
        </w:rPr>
        <w:t>starii</w:t>
      </w:r>
      <w:proofErr w:type="spellEnd"/>
      <w:r w:rsidRPr="00A5664A">
        <w:rPr>
          <w:rFonts w:ascii="Times New Roman" w:hAnsi="Times New Roman" w:cs="Times New Roman"/>
        </w:rPr>
        <w:t xml:space="preserve"> </w:t>
      </w:r>
      <w:proofErr w:type="spellStart"/>
      <w:r w:rsidRPr="00A5664A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ă</w:t>
      </w:r>
      <w:r w:rsidRPr="00A5664A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ă</w:t>
      </w:r>
      <w:r w:rsidRPr="00A5664A">
        <w:rPr>
          <w:rFonts w:ascii="Times New Roman" w:hAnsi="Times New Roman" w:cs="Times New Roman"/>
        </w:rPr>
        <w:t>n</w:t>
      </w:r>
      <w:proofErr w:type="spellEnd"/>
      <w:r w:rsidRPr="00A5664A">
        <w:rPr>
          <w:rFonts w:ascii="Times New Roman" w:hAnsi="Times New Roman" w:cs="Times New Roman"/>
        </w:rPr>
        <w:t xml:space="preserve"> </w:t>
      </w:r>
      <w:proofErr w:type="spellStart"/>
      <w:r w:rsidRPr="00A5664A">
        <w:rPr>
          <w:rFonts w:ascii="Times New Roman" w:hAnsi="Times New Roman" w:cs="Times New Roman"/>
        </w:rPr>
        <w:t>gola</w:t>
      </w:r>
      <w:r>
        <w:rPr>
          <w:rFonts w:ascii="Times New Roman" w:hAnsi="Times New Roman" w:cs="Times New Roman"/>
        </w:rPr>
        <w:t>ș</w:t>
      </w:r>
      <w:r w:rsidRPr="00A5664A">
        <w:rPr>
          <w:rFonts w:ascii="Times New Roman" w:hAnsi="Times New Roman" w:cs="Times New Roman"/>
        </w:rPr>
        <w:t>i</w:t>
      </w:r>
      <w:proofErr w:type="spellEnd"/>
      <w:r w:rsidRPr="00A5664A">
        <w:rPr>
          <w:rFonts w:ascii="Times New Roman" w:hAnsi="Times New Roman" w:cs="Times New Roman"/>
        </w:rPr>
        <w:t xml:space="preserve"> </w:t>
      </w:r>
      <w:proofErr w:type="spellStart"/>
      <w:r w:rsidRPr="00A5664A">
        <w:rPr>
          <w:rFonts w:ascii="Times New Roman" w:hAnsi="Times New Roman" w:cs="Times New Roman"/>
        </w:rPr>
        <w:t>sau</w:t>
      </w:r>
      <w:proofErr w:type="spellEnd"/>
      <w:r w:rsidRPr="00A5664A">
        <w:rPr>
          <w:rFonts w:ascii="Times New Roman" w:hAnsi="Times New Roman" w:cs="Times New Roman"/>
        </w:rPr>
        <w:t xml:space="preserve"> cu un </w:t>
      </w:r>
      <w:proofErr w:type="spellStart"/>
      <w:r w:rsidRPr="00A5664A">
        <w:rPr>
          <w:rFonts w:ascii="Times New Roman" w:hAnsi="Times New Roman" w:cs="Times New Roman"/>
        </w:rPr>
        <w:t>smoc</w:t>
      </w:r>
      <w:proofErr w:type="spellEnd"/>
      <w:r w:rsidRPr="00A5664A">
        <w:rPr>
          <w:rFonts w:ascii="Times New Roman" w:hAnsi="Times New Roman" w:cs="Times New Roman"/>
        </w:rPr>
        <w:t xml:space="preserve"> de </w:t>
      </w:r>
      <w:proofErr w:type="spellStart"/>
      <w:r w:rsidRPr="00A5664A">
        <w:rPr>
          <w:rFonts w:ascii="Times New Roman" w:hAnsi="Times New Roman" w:cs="Times New Roman"/>
        </w:rPr>
        <w:t>frunzuli</w:t>
      </w:r>
      <w:r w:rsidR="00C757D8">
        <w:rPr>
          <w:rFonts w:ascii="Times New Roman" w:hAnsi="Times New Roman" w:cs="Times New Roman"/>
        </w:rPr>
        <w:t>ț</w:t>
      </w:r>
      <w:r w:rsidRPr="00A5664A">
        <w:rPr>
          <w:rFonts w:ascii="Times New Roman" w:hAnsi="Times New Roman" w:cs="Times New Roman"/>
        </w:rPr>
        <w:t>e</w:t>
      </w:r>
      <w:proofErr w:type="spellEnd"/>
      <w:r w:rsidRPr="00A5664A">
        <w:rPr>
          <w:rFonts w:ascii="Times New Roman" w:hAnsi="Times New Roman" w:cs="Times New Roman"/>
        </w:rPr>
        <w:t xml:space="preserve"> </w:t>
      </w:r>
      <w:proofErr w:type="spellStart"/>
      <w:r w:rsidR="00C757D8">
        <w:rPr>
          <w:rFonts w:ascii="Times New Roman" w:hAnsi="Times New Roman" w:cs="Times New Roman"/>
        </w:rPr>
        <w:t>î</w:t>
      </w:r>
      <w:r w:rsidRPr="00A5664A">
        <w:rPr>
          <w:rFonts w:ascii="Times New Roman" w:hAnsi="Times New Roman" w:cs="Times New Roman"/>
        </w:rPr>
        <w:t>n</w:t>
      </w:r>
      <w:proofErr w:type="spellEnd"/>
      <w:r w:rsidRPr="00A5664A">
        <w:rPr>
          <w:rFonts w:ascii="Times New Roman" w:hAnsi="Times New Roman" w:cs="Times New Roman"/>
        </w:rPr>
        <w:t xml:space="preserve"> </w:t>
      </w:r>
      <w:proofErr w:type="spellStart"/>
      <w:r w:rsidRPr="00A5664A">
        <w:rPr>
          <w:rFonts w:ascii="Times New Roman" w:hAnsi="Times New Roman" w:cs="Times New Roman"/>
        </w:rPr>
        <w:t>varf</w:t>
      </w:r>
      <w:proofErr w:type="spellEnd"/>
      <w:r w:rsidRPr="00A5664A">
        <w:rPr>
          <w:rFonts w:ascii="Times New Roman" w:hAnsi="Times New Roman" w:cs="Times New Roman"/>
        </w:rPr>
        <w:t xml:space="preserve">. </w:t>
      </w:r>
      <w:r w:rsidRPr="00ED6AC8">
        <w:rPr>
          <w:rFonts w:ascii="Times New Roman" w:hAnsi="Times New Roman" w:cs="Times New Roman"/>
          <w:lang w:val="pt-BR"/>
        </w:rPr>
        <w:t xml:space="preserve">Mugurele terminal este distrus. Lastarii nu mai cresc si se usuca. </w:t>
      </w:r>
    </w:p>
    <w:p w14:paraId="569D4A3C" w14:textId="77777777" w:rsidR="002F6323" w:rsidRPr="00ED6AC8" w:rsidRDefault="002F6323" w:rsidP="001A7F5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lang w:val="pt-BR"/>
        </w:rPr>
        <w:sectPr w:rsidR="002F6323" w:rsidRPr="00ED6AC8" w:rsidSect="00111B69">
          <w:type w:val="continuous"/>
          <w:pgSz w:w="11906" w:h="16838"/>
          <w:pgMar w:top="567" w:right="567" w:bottom="567" w:left="1134" w:header="227" w:footer="170" w:gutter="0"/>
          <w:cols w:num="2" w:space="709" w:equalWidth="0">
            <w:col w:w="2552" w:space="283"/>
            <w:col w:w="7370"/>
          </w:cols>
          <w:docGrid w:linePitch="360"/>
        </w:sectPr>
      </w:pPr>
    </w:p>
    <w:p w14:paraId="6B35BC42" w14:textId="5C77B05D" w:rsidR="005326A4" w:rsidRPr="00ED6AC8" w:rsidRDefault="00A5664A" w:rsidP="001A7F5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lang w:val="pt-BR"/>
        </w:rPr>
      </w:pPr>
      <w:r w:rsidRPr="00ED6AC8">
        <w:rPr>
          <w:rFonts w:ascii="Times New Roman" w:hAnsi="Times New Roman" w:cs="Times New Roman"/>
          <w:lang w:val="pt-BR"/>
        </w:rPr>
        <w:t xml:space="preserve">Se recomandă efectuarea tratamentelor fitosanitare la speciile de măr </w:t>
      </w:r>
      <w:r w:rsidR="00C757D8">
        <w:rPr>
          <w:rFonts w:ascii="Times New Roman" w:hAnsi="Times New Roman" w:cs="Times New Roman"/>
          <w:lang w:val="pt-BR"/>
        </w:rPr>
        <w:t>ș</w:t>
      </w:r>
      <w:r w:rsidRPr="00ED6AC8">
        <w:rPr>
          <w:rFonts w:ascii="Times New Roman" w:hAnsi="Times New Roman" w:cs="Times New Roman"/>
          <w:lang w:val="pt-BR"/>
        </w:rPr>
        <w:t>i păr cu:</w:t>
      </w:r>
    </w:p>
    <w:p w14:paraId="07841AD4" w14:textId="36BE485B" w:rsidR="003E6B03" w:rsidRPr="001A7F5A" w:rsidRDefault="003E6B03" w:rsidP="000555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lang w:val="ro-RO"/>
        </w:rPr>
      </w:pPr>
      <w:hyperlink r:id="rId11" w:history="1">
        <w:r w:rsidRPr="00ED6AC8">
          <w:rPr>
            <w:rFonts w:ascii="Times New Roman" w:hAnsi="Times New Roman" w:cs="Times New Roman"/>
            <w:b/>
            <w:color w:val="000000"/>
            <w:lang w:val="pt-BR"/>
          </w:rPr>
          <w:t>Poleci (Deca 2,5 EC)</w:t>
        </w:r>
        <w:r w:rsidR="00C757D8">
          <w:rPr>
            <w:rFonts w:ascii="Times New Roman" w:hAnsi="Times New Roman" w:cs="Times New Roman"/>
            <w:b/>
            <w:color w:val="000000"/>
            <w:lang w:val="pt-BR"/>
          </w:rPr>
          <w:t xml:space="preserve"> </w:t>
        </w:r>
        <w:r w:rsidRPr="00ED6AC8">
          <w:rPr>
            <w:rFonts w:ascii="Times New Roman" w:hAnsi="Times New Roman" w:cs="Times New Roman"/>
            <w:b/>
            <w:color w:val="000000"/>
            <w:lang w:val="pt-BR"/>
          </w:rPr>
          <w:t>- 30-50 ml/hl apa (0,03-0,05%)</w:t>
        </w:r>
      </w:hyperlink>
      <w:r w:rsidR="00C757D8">
        <w:t xml:space="preserve"> </w:t>
      </w:r>
      <w:r w:rsidRPr="001A7F5A">
        <w:rPr>
          <w:rFonts w:ascii="Times New Roman" w:hAnsi="Times New Roman" w:cs="Times New Roman"/>
          <w:lang w:val="ro-RO"/>
        </w:rPr>
        <w:t>în amestec cu un produs p</w:t>
      </w:r>
      <w:r w:rsidR="001A15AF">
        <w:rPr>
          <w:rFonts w:ascii="Times New Roman" w:hAnsi="Times New Roman" w:cs="Times New Roman"/>
          <w:lang w:val="ro-RO"/>
        </w:rPr>
        <w:t>entru</w:t>
      </w:r>
      <w:r w:rsidRPr="001A7F5A">
        <w:rPr>
          <w:rFonts w:ascii="Times New Roman" w:hAnsi="Times New Roman" w:cs="Times New Roman"/>
          <w:lang w:val="ro-RO"/>
        </w:rPr>
        <w:t xml:space="preserve"> combaterea făinării:  </w:t>
      </w:r>
    </w:p>
    <w:p w14:paraId="7205EB63" w14:textId="7F65A4F3" w:rsidR="003E6B03" w:rsidRPr="001A7F5A" w:rsidRDefault="003038A1" w:rsidP="001A7F5A">
      <w:pPr>
        <w:pStyle w:val="Frspaiere"/>
        <w:ind w:firstLine="720"/>
        <w:rPr>
          <w:rFonts w:ascii="Times New Roman" w:hAnsi="Times New Roman" w:cs="Times New Roman"/>
          <w:b/>
          <w:lang w:val="ro-RO"/>
        </w:rPr>
      </w:pPr>
      <w:proofErr w:type="spellStart"/>
      <w:r w:rsidRPr="001A7F5A">
        <w:rPr>
          <w:rFonts w:ascii="Times New Roman" w:hAnsi="Times New Roman" w:cs="Times New Roman"/>
          <w:b/>
        </w:rPr>
        <w:t>Thiovit</w:t>
      </w:r>
      <w:proofErr w:type="spellEnd"/>
      <w:r w:rsidRPr="001A7F5A">
        <w:rPr>
          <w:rFonts w:ascii="Times New Roman" w:hAnsi="Times New Roman" w:cs="Times New Roman"/>
          <w:b/>
        </w:rPr>
        <w:t xml:space="preserve"> Jet</w:t>
      </w:r>
      <w:r w:rsidR="003E6B03" w:rsidRPr="001A7F5A">
        <w:rPr>
          <w:rFonts w:ascii="Times New Roman" w:hAnsi="Times New Roman" w:cs="Times New Roman"/>
          <w:b/>
        </w:rPr>
        <w:t xml:space="preserve"> 80 WG – 5,0 – 8,0 kg/ha </w:t>
      </w:r>
      <w:proofErr w:type="spellStart"/>
      <w:r w:rsidR="003E6B03" w:rsidRPr="001A7F5A">
        <w:rPr>
          <w:rFonts w:ascii="Times New Roman" w:hAnsi="Times New Roman" w:cs="Times New Roman"/>
        </w:rPr>
        <w:t>sau</w:t>
      </w:r>
      <w:proofErr w:type="spellEnd"/>
      <w:r w:rsidR="00C757D8">
        <w:rPr>
          <w:rFonts w:ascii="Times New Roman" w:hAnsi="Times New Roman" w:cs="Times New Roman"/>
        </w:rPr>
        <w:t xml:space="preserve"> </w:t>
      </w:r>
      <w:proofErr w:type="spellStart"/>
      <w:r w:rsidR="005326A4" w:rsidRPr="001A7F5A">
        <w:rPr>
          <w:rFonts w:ascii="Times New Roman" w:hAnsi="Times New Roman" w:cs="Times New Roman"/>
          <w:b/>
        </w:rPr>
        <w:t>Flosul</w:t>
      </w:r>
      <w:proofErr w:type="spellEnd"/>
      <w:r w:rsidR="000555F7">
        <w:rPr>
          <w:rFonts w:ascii="Times New Roman" w:hAnsi="Times New Roman" w:cs="Times New Roman"/>
          <w:b/>
        </w:rPr>
        <w:t xml:space="preserve"> (</w:t>
      </w:r>
      <w:proofErr w:type="spellStart"/>
      <w:r w:rsidR="000555F7">
        <w:rPr>
          <w:rFonts w:ascii="Times New Roman" w:hAnsi="Times New Roman" w:cs="Times New Roman"/>
          <w:b/>
        </w:rPr>
        <w:t>Powsys</w:t>
      </w:r>
      <w:proofErr w:type="spellEnd"/>
      <w:r w:rsidR="000555F7">
        <w:rPr>
          <w:rFonts w:ascii="Times New Roman" w:hAnsi="Times New Roman" w:cs="Times New Roman"/>
          <w:b/>
        </w:rPr>
        <w:t>)</w:t>
      </w:r>
      <w:r w:rsidR="005326A4" w:rsidRPr="001A7F5A">
        <w:rPr>
          <w:rFonts w:ascii="Times New Roman" w:hAnsi="Times New Roman" w:cs="Times New Roman"/>
        </w:rPr>
        <w:t xml:space="preserve"> – </w:t>
      </w:r>
      <w:r w:rsidR="005326A4" w:rsidRPr="001A7F5A">
        <w:rPr>
          <w:rFonts w:ascii="Times New Roman" w:hAnsi="Times New Roman" w:cs="Times New Roman"/>
          <w:b/>
        </w:rPr>
        <w:t xml:space="preserve">7,5 l/ha </w:t>
      </w:r>
      <w:proofErr w:type="spellStart"/>
      <w:proofErr w:type="gramStart"/>
      <w:r w:rsidR="005326A4" w:rsidRPr="001A7F5A">
        <w:rPr>
          <w:rFonts w:ascii="Times New Roman" w:hAnsi="Times New Roman" w:cs="Times New Roman"/>
        </w:rPr>
        <w:t>sau</w:t>
      </w:r>
      <w:proofErr w:type="spellEnd"/>
      <w:r w:rsidR="005326A4" w:rsidRPr="001A7F5A">
        <w:rPr>
          <w:rFonts w:ascii="Times New Roman" w:hAnsi="Times New Roman" w:cs="Times New Roman"/>
        </w:rPr>
        <w:t xml:space="preserve">  </w:t>
      </w:r>
      <w:proofErr w:type="spellStart"/>
      <w:r w:rsidR="003E6B03" w:rsidRPr="001A7F5A">
        <w:rPr>
          <w:rFonts w:ascii="Times New Roman" w:hAnsi="Times New Roman" w:cs="Times New Roman"/>
          <w:b/>
          <w:lang w:val="ro-RO"/>
        </w:rPr>
        <w:t>M</w:t>
      </w:r>
      <w:r w:rsidR="0082301D" w:rsidRPr="001A7F5A">
        <w:rPr>
          <w:rFonts w:ascii="Times New Roman" w:hAnsi="Times New Roman" w:cs="Times New Roman"/>
          <w:b/>
          <w:lang w:val="ro-RO"/>
        </w:rPr>
        <w:t>icrothiol</w:t>
      </w:r>
      <w:proofErr w:type="spellEnd"/>
      <w:proofErr w:type="gramEnd"/>
      <w:r w:rsidR="0082301D" w:rsidRPr="001A7F5A">
        <w:rPr>
          <w:rFonts w:ascii="Times New Roman" w:hAnsi="Times New Roman" w:cs="Times New Roman"/>
          <w:b/>
          <w:lang w:val="ro-RO"/>
        </w:rPr>
        <w:t xml:space="preserve"> </w:t>
      </w:r>
      <w:r w:rsidR="003E6B03" w:rsidRPr="001A7F5A">
        <w:rPr>
          <w:rFonts w:ascii="Times New Roman" w:hAnsi="Times New Roman" w:cs="Times New Roman"/>
          <w:b/>
          <w:lang w:val="ro-RO"/>
        </w:rPr>
        <w:t xml:space="preserve"> S</w:t>
      </w:r>
      <w:r w:rsidR="0082301D" w:rsidRPr="001A7F5A">
        <w:rPr>
          <w:rFonts w:ascii="Times New Roman" w:hAnsi="Times New Roman" w:cs="Times New Roman"/>
          <w:b/>
          <w:lang w:val="ro-RO"/>
        </w:rPr>
        <w:t>pecial</w:t>
      </w:r>
      <w:r w:rsidR="00C757D8">
        <w:rPr>
          <w:rFonts w:ascii="Times New Roman" w:hAnsi="Times New Roman" w:cs="Times New Roman"/>
          <w:b/>
          <w:lang w:val="ro-RO"/>
        </w:rPr>
        <w:t xml:space="preserve"> </w:t>
      </w:r>
      <w:r w:rsidR="000555F7">
        <w:rPr>
          <w:rFonts w:ascii="Times New Roman" w:hAnsi="Times New Roman" w:cs="Times New Roman"/>
          <w:b/>
          <w:lang w:val="ro-RO"/>
        </w:rPr>
        <w:t xml:space="preserve">(Jet) </w:t>
      </w:r>
      <w:r w:rsidR="003E6B03" w:rsidRPr="001A7F5A">
        <w:rPr>
          <w:rFonts w:ascii="Times New Roman" w:hAnsi="Times New Roman" w:cs="Times New Roman"/>
          <w:b/>
          <w:lang w:val="ro-RO"/>
        </w:rPr>
        <w:t>– 0,3</w:t>
      </w:r>
      <w:proofErr w:type="gramStart"/>
      <w:r w:rsidR="003E6B03" w:rsidRPr="001A7F5A">
        <w:rPr>
          <w:rFonts w:ascii="Times New Roman" w:hAnsi="Times New Roman" w:cs="Times New Roman"/>
          <w:b/>
          <w:lang w:val="ro-RO"/>
        </w:rPr>
        <w:t xml:space="preserve">% </w:t>
      </w:r>
      <w:r w:rsidR="003E6B03" w:rsidRPr="001A7F5A">
        <w:rPr>
          <w:rFonts w:ascii="Times New Roman" w:hAnsi="Times New Roman" w:cs="Times New Roman"/>
          <w:lang w:val="ro-RO"/>
        </w:rPr>
        <w:t xml:space="preserve"> sau</w:t>
      </w:r>
      <w:proofErr w:type="gramEnd"/>
      <w:r w:rsidR="00C757D8">
        <w:rPr>
          <w:rFonts w:ascii="Times New Roman" w:hAnsi="Times New Roman" w:cs="Times New Roman"/>
          <w:lang w:val="ro-RO"/>
        </w:rPr>
        <w:t xml:space="preserve"> </w:t>
      </w:r>
      <w:proofErr w:type="spellStart"/>
      <w:proofErr w:type="gramStart"/>
      <w:r w:rsidR="003E6B03" w:rsidRPr="001A7F5A">
        <w:rPr>
          <w:rFonts w:ascii="Times New Roman" w:hAnsi="Times New Roman" w:cs="Times New Roman"/>
          <w:b/>
          <w:lang w:val="ro-RO"/>
        </w:rPr>
        <w:t>K</w:t>
      </w:r>
      <w:r w:rsidR="0082301D" w:rsidRPr="001A7F5A">
        <w:rPr>
          <w:rFonts w:ascii="Times New Roman" w:hAnsi="Times New Roman" w:cs="Times New Roman"/>
          <w:b/>
          <w:lang w:val="ro-RO"/>
        </w:rPr>
        <w:t>umulus</w:t>
      </w:r>
      <w:proofErr w:type="spellEnd"/>
      <w:r w:rsidR="0082301D" w:rsidRPr="001A7F5A">
        <w:rPr>
          <w:rFonts w:ascii="Times New Roman" w:hAnsi="Times New Roman" w:cs="Times New Roman"/>
          <w:b/>
          <w:lang w:val="ro-RO"/>
        </w:rPr>
        <w:t xml:space="preserve"> </w:t>
      </w:r>
      <w:r w:rsidR="003E6B03" w:rsidRPr="001A7F5A">
        <w:rPr>
          <w:rFonts w:ascii="Times New Roman" w:hAnsi="Times New Roman" w:cs="Times New Roman"/>
          <w:b/>
          <w:lang w:val="ro-RO"/>
        </w:rPr>
        <w:t xml:space="preserve"> DF</w:t>
      </w:r>
      <w:proofErr w:type="gramEnd"/>
      <w:r w:rsidR="003E6B03" w:rsidRPr="001A7F5A">
        <w:rPr>
          <w:rFonts w:ascii="Times New Roman" w:hAnsi="Times New Roman" w:cs="Times New Roman"/>
          <w:b/>
          <w:lang w:val="ro-RO"/>
        </w:rPr>
        <w:t xml:space="preserve"> – 0,3%. </w:t>
      </w:r>
    </w:p>
    <w:p w14:paraId="682433E4" w14:textId="37709075" w:rsidR="003E6B03" w:rsidRPr="00ED6AC8" w:rsidRDefault="003E6B03" w:rsidP="001A7F5A">
      <w:pPr>
        <w:pStyle w:val="Frspaiere"/>
        <w:ind w:firstLine="708"/>
        <w:jc w:val="both"/>
        <w:rPr>
          <w:rFonts w:ascii="Times New Roman" w:hAnsi="Times New Roman" w:cs="Times New Roman"/>
          <w:lang w:val="pt-BR"/>
        </w:rPr>
      </w:pPr>
      <w:r w:rsidRPr="001A7F5A">
        <w:rPr>
          <w:rFonts w:ascii="Times New Roman" w:hAnsi="Times New Roman" w:cs="Times New Roman"/>
          <w:b/>
          <w:lang w:val="ro-RO"/>
        </w:rPr>
        <w:t>Tratamentul</w:t>
      </w:r>
      <w:r w:rsidRPr="001A7F5A">
        <w:rPr>
          <w:rFonts w:ascii="Times New Roman" w:hAnsi="Times New Roman" w:cs="Times New Roman"/>
          <w:lang w:val="ro-RO"/>
        </w:rPr>
        <w:t xml:space="preserve"> se aplică</w:t>
      </w:r>
      <w:r w:rsidR="005326A4" w:rsidRPr="001A7F5A">
        <w:rPr>
          <w:rFonts w:ascii="Times New Roman" w:hAnsi="Times New Roman" w:cs="Times New Roman"/>
          <w:lang w:val="ro-RO"/>
        </w:rPr>
        <w:t xml:space="preserve"> atunci</w:t>
      </w:r>
      <w:r w:rsidRPr="001A7F5A">
        <w:rPr>
          <w:rFonts w:ascii="Times New Roman" w:hAnsi="Times New Roman" w:cs="Times New Roman"/>
          <w:lang w:val="ro-RO"/>
        </w:rPr>
        <w:t xml:space="preserve"> când </w:t>
      </w:r>
      <w:r w:rsidRPr="001A7F5A">
        <w:rPr>
          <w:rFonts w:ascii="Times New Roman" w:hAnsi="Times New Roman" w:cs="Times New Roman"/>
          <w:b/>
          <w:lang w:val="ro-RO"/>
        </w:rPr>
        <w:t>10-15% din mugurii florali sunt dezmuguriți</w:t>
      </w:r>
      <w:r w:rsidRPr="001A7F5A">
        <w:rPr>
          <w:rFonts w:ascii="Times New Roman" w:hAnsi="Times New Roman" w:cs="Times New Roman"/>
          <w:lang w:val="ro-RO"/>
        </w:rPr>
        <w:t xml:space="preserve"> și  temperatura aerului este </w:t>
      </w:r>
      <w:r w:rsidRPr="00ED6AC8">
        <w:rPr>
          <w:rFonts w:ascii="Times New Roman" w:hAnsi="Times New Roman" w:cs="Times New Roman"/>
          <w:lang w:val="pt-BR"/>
        </w:rPr>
        <w:t xml:space="preserve">de peste 6-8 </w:t>
      </w:r>
      <w:r w:rsidRPr="00ED6AC8">
        <w:rPr>
          <w:rFonts w:ascii="Times New Roman" w:hAnsi="Times New Roman" w:cs="Times New Roman"/>
          <w:vertAlign w:val="superscript"/>
          <w:lang w:val="pt-BR"/>
        </w:rPr>
        <w:t>0</w:t>
      </w:r>
      <w:r w:rsidRPr="00ED6AC8">
        <w:rPr>
          <w:rFonts w:ascii="Times New Roman" w:hAnsi="Times New Roman" w:cs="Times New Roman"/>
          <w:lang w:val="pt-BR"/>
        </w:rPr>
        <w:t>C  faz</w:t>
      </w:r>
      <w:r w:rsidR="00270502">
        <w:rPr>
          <w:rFonts w:ascii="Times New Roman" w:hAnsi="Times New Roman" w:cs="Times New Roman"/>
          <w:lang w:val="pt-BR"/>
        </w:rPr>
        <w:t>ă</w:t>
      </w:r>
      <w:r w:rsidRPr="00ED6AC8">
        <w:rPr>
          <w:rFonts w:ascii="Times New Roman" w:hAnsi="Times New Roman" w:cs="Times New Roman"/>
          <w:lang w:val="pt-BR"/>
        </w:rPr>
        <w:t xml:space="preserve"> ce coincide cu înflorirea podbealului </w:t>
      </w:r>
      <w:r w:rsidRPr="00ED6AC8">
        <w:rPr>
          <w:rFonts w:ascii="Times New Roman" w:hAnsi="Times New Roman" w:cs="Times New Roman"/>
          <w:i/>
          <w:lang w:val="pt-BR"/>
        </w:rPr>
        <w:t>(Tussilago farfara).</w:t>
      </w:r>
    </w:p>
    <w:p w14:paraId="495DE717" w14:textId="56DCCAEB" w:rsidR="0027687C" w:rsidRPr="0027687C" w:rsidRDefault="003E6B03" w:rsidP="0027687C">
      <w:pPr>
        <w:pStyle w:val="Corptext"/>
        <w:ind w:firstLine="720"/>
        <w:jc w:val="both"/>
        <w:rPr>
          <w:sz w:val="22"/>
          <w:szCs w:val="22"/>
          <w:lang w:val="ro-RO"/>
        </w:rPr>
      </w:pPr>
      <w:r w:rsidRPr="001A7F5A">
        <w:rPr>
          <w:sz w:val="22"/>
          <w:szCs w:val="22"/>
          <w:lang w:val="pt-BR"/>
        </w:rPr>
        <w:t xml:space="preserve">Dacă nu ați aplicat tratamentul  de iarnă care a fost recomandat cât mai aproape de umflarea mugurilor </w:t>
      </w:r>
      <w:r w:rsidRPr="001A7F5A">
        <w:rPr>
          <w:sz w:val="22"/>
          <w:szCs w:val="22"/>
          <w:lang w:val="ro-RO"/>
        </w:rPr>
        <w:t xml:space="preserve">contra rapănului, focului bacterian,  bolilor de </w:t>
      </w:r>
      <w:proofErr w:type="spellStart"/>
      <w:r w:rsidRPr="001A7F5A">
        <w:rPr>
          <w:sz w:val="22"/>
          <w:szCs w:val="22"/>
          <w:lang w:val="ro-RO"/>
        </w:rPr>
        <w:t>scoarţă</w:t>
      </w:r>
      <w:proofErr w:type="spellEnd"/>
      <w:r w:rsidRPr="001A7F5A">
        <w:rPr>
          <w:sz w:val="22"/>
          <w:szCs w:val="22"/>
          <w:lang w:val="ro-RO"/>
        </w:rPr>
        <w:t xml:space="preserve"> </w:t>
      </w:r>
      <w:proofErr w:type="spellStart"/>
      <w:r w:rsidRPr="001A7F5A">
        <w:rPr>
          <w:sz w:val="22"/>
          <w:szCs w:val="22"/>
          <w:lang w:val="ro-RO"/>
        </w:rPr>
        <w:t>şi</w:t>
      </w:r>
      <w:proofErr w:type="spellEnd"/>
      <w:r w:rsidRPr="001A7F5A">
        <w:rPr>
          <w:sz w:val="22"/>
          <w:szCs w:val="22"/>
          <w:lang w:val="ro-RO"/>
        </w:rPr>
        <w:t xml:space="preserve"> trunchi, </w:t>
      </w:r>
      <w:proofErr w:type="spellStart"/>
      <w:r w:rsidRPr="001A7F5A">
        <w:rPr>
          <w:sz w:val="22"/>
          <w:szCs w:val="22"/>
          <w:lang w:val="ro-RO"/>
        </w:rPr>
        <w:t>folosiţi</w:t>
      </w:r>
      <w:proofErr w:type="spellEnd"/>
      <w:r w:rsidRPr="001A7F5A">
        <w:rPr>
          <w:sz w:val="22"/>
          <w:szCs w:val="22"/>
          <w:lang w:val="ro-RO"/>
        </w:rPr>
        <w:t xml:space="preserve"> în schema de tratament  unul din produsele:</w:t>
      </w:r>
      <w:r w:rsidR="00270502">
        <w:rPr>
          <w:sz w:val="22"/>
          <w:szCs w:val="22"/>
          <w:lang w:val="ro-RO"/>
        </w:rPr>
        <w:t xml:space="preserve"> </w:t>
      </w:r>
      <w:proofErr w:type="spellStart"/>
      <w:r w:rsidRPr="001A7F5A">
        <w:rPr>
          <w:b/>
          <w:sz w:val="22"/>
          <w:szCs w:val="22"/>
          <w:lang w:val="ro-RO"/>
        </w:rPr>
        <w:t>A</w:t>
      </w:r>
      <w:r w:rsidR="0082301D" w:rsidRPr="001A7F5A">
        <w:rPr>
          <w:b/>
          <w:sz w:val="22"/>
          <w:szCs w:val="22"/>
          <w:lang w:val="ro-RO"/>
        </w:rPr>
        <w:t>lcupral</w:t>
      </w:r>
      <w:proofErr w:type="spellEnd"/>
      <w:r w:rsidR="005326A4" w:rsidRPr="001A7F5A">
        <w:rPr>
          <w:b/>
          <w:sz w:val="22"/>
          <w:szCs w:val="22"/>
          <w:lang w:val="ro-RO"/>
        </w:rPr>
        <w:t xml:space="preserve"> 50</w:t>
      </w:r>
      <w:r w:rsidR="00270502">
        <w:rPr>
          <w:b/>
          <w:sz w:val="22"/>
          <w:szCs w:val="22"/>
          <w:lang w:val="ro-RO"/>
        </w:rPr>
        <w:t xml:space="preserve"> </w:t>
      </w:r>
      <w:r w:rsidRPr="001A7F5A">
        <w:rPr>
          <w:b/>
          <w:sz w:val="22"/>
          <w:szCs w:val="22"/>
          <w:lang w:val="ro-RO"/>
        </w:rPr>
        <w:t>PU–0,3 %</w:t>
      </w:r>
      <w:r w:rsidR="00270502">
        <w:rPr>
          <w:b/>
          <w:sz w:val="22"/>
          <w:szCs w:val="22"/>
          <w:lang w:val="ro-RO"/>
        </w:rPr>
        <w:t xml:space="preserve"> </w:t>
      </w:r>
      <w:r w:rsidRPr="00ED6AC8">
        <w:rPr>
          <w:color w:val="000000"/>
          <w:sz w:val="22"/>
          <w:szCs w:val="22"/>
          <w:lang w:val="pt-BR"/>
        </w:rPr>
        <w:t xml:space="preserve">sau </w:t>
      </w:r>
      <w:r w:rsidRPr="001A7F5A">
        <w:rPr>
          <w:b/>
          <w:sz w:val="22"/>
          <w:szCs w:val="22"/>
          <w:lang w:val="pt-BR"/>
        </w:rPr>
        <w:t>T</w:t>
      </w:r>
      <w:r w:rsidR="0082301D" w:rsidRPr="001A7F5A">
        <w:rPr>
          <w:b/>
          <w:sz w:val="22"/>
          <w:szCs w:val="22"/>
          <w:lang w:val="pt-BR"/>
        </w:rPr>
        <w:t xml:space="preserve">riumf </w:t>
      </w:r>
      <w:r w:rsidR="005326A4" w:rsidRPr="001A7F5A">
        <w:rPr>
          <w:b/>
          <w:sz w:val="22"/>
          <w:szCs w:val="22"/>
          <w:lang w:val="pt-BR"/>
        </w:rPr>
        <w:t>40</w:t>
      </w:r>
      <w:r w:rsidRPr="001A7F5A">
        <w:rPr>
          <w:b/>
          <w:sz w:val="22"/>
          <w:szCs w:val="22"/>
          <w:lang w:val="pt-BR"/>
        </w:rPr>
        <w:t>WG – 0,25%</w:t>
      </w:r>
      <w:r w:rsidR="00270502">
        <w:rPr>
          <w:b/>
          <w:sz w:val="22"/>
          <w:szCs w:val="22"/>
          <w:lang w:val="pt-BR"/>
        </w:rPr>
        <w:t xml:space="preserve"> </w:t>
      </w:r>
      <w:r w:rsidRPr="001A7F5A">
        <w:rPr>
          <w:sz w:val="22"/>
          <w:szCs w:val="22"/>
          <w:lang w:val="ro-RO"/>
        </w:rPr>
        <w:t>sau</w:t>
      </w:r>
      <w:r w:rsidR="00270502">
        <w:rPr>
          <w:sz w:val="22"/>
          <w:szCs w:val="22"/>
          <w:lang w:val="ro-RO"/>
        </w:rPr>
        <w:t xml:space="preserve"> </w:t>
      </w:r>
      <w:r w:rsidRPr="00ED6AC8">
        <w:rPr>
          <w:b/>
          <w:color w:val="000000"/>
          <w:sz w:val="22"/>
          <w:szCs w:val="22"/>
          <w:lang w:val="pt-BR"/>
        </w:rPr>
        <w:t>V</w:t>
      </w:r>
      <w:r w:rsidR="0082301D" w:rsidRPr="00ED6AC8">
        <w:rPr>
          <w:b/>
          <w:color w:val="000000"/>
          <w:sz w:val="22"/>
          <w:szCs w:val="22"/>
          <w:lang w:val="pt-BR"/>
        </w:rPr>
        <w:t>itra</w:t>
      </w:r>
      <w:r w:rsidRPr="00ED6AC8">
        <w:rPr>
          <w:b/>
          <w:color w:val="000000"/>
          <w:sz w:val="22"/>
          <w:szCs w:val="22"/>
          <w:lang w:val="pt-BR"/>
        </w:rPr>
        <w:t xml:space="preserve"> 50WP (C</w:t>
      </w:r>
      <w:r w:rsidR="0082301D" w:rsidRPr="00ED6AC8">
        <w:rPr>
          <w:b/>
          <w:color w:val="000000"/>
          <w:sz w:val="22"/>
          <w:szCs w:val="22"/>
          <w:lang w:val="pt-BR"/>
        </w:rPr>
        <w:t>upridin</w:t>
      </w:r>
      <w:r w:rsidRPr="00ED6AC8">
        <w:rPr>
          <w:b/>
          <w:color w:val="000000"/>
          <w:sz w:val="22"/>
          <w:szCs w:val="22"/>
          <w:lang w:val="pt-BR"/>
        </w:rPr>
        <w:t xml:space="preserve">) </w:t>
      </w:r>
      <w:r w:rsidRPr="001A7F5A">
        <w:rPr>
          <w:b/>
          <w:sz w:val="22"/>
          <w:szCs w:val="22"/>
          <w:lang w:val="ro-RO"/>
        </w:rPr>
        <w:t>–</w:t>
      </w:r>
      <w:r w:rsidRPr="00ED6AC8">
        <w:rPr>
          <w:b/>
          <w:color w:val="000000"/>
          <w:sz w:val="22"/>
          <w:szCs w:val="22"/>
          <w:shd w:val="clear" w:color="auto" w:fill="FFFFFF"/>
          <w:lang w:val="pt-BR"/>
        </w:rPr>
        <w:t>1,5-2,0 kg/ha</w:t>
      </w:r>
      <w:r w:rsidR="00270502">
        <w:rPr>
          <w:b/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="005326A4" w:rsidRPr="00ED6AC8">
        <w:rPr>
          <w:color w:val="000000"/>
          <w:sz w:val="22"/>
          <w:szCs w:val="22"/>
          <w:shd w:val="clear" w:color="auto" w:fill="FFFFFF"/>
          <w:lang w:val="pt-BR"/>
        </w:rPr>
        <w:t>sau</w:t>
      </w:r>
      <w:r w:rsidR="00270502">
        <w:rPr>
          <w:color w:val="000000"/>
          <w:sz w:val="22"/>
          <w:szCs w:val="22"/>
          <w:shd w:val="clear" w:color="auto" w:fill="FFFFFF"/>
          <w:lang w:val="pt-BR"/>
        </w:rPr>
        <w:t xml:space="preserve"> </w:t>
      </w:r>
      <w:r w:rsidR="005326A4" w:rsidRPr="00ED6AC8">
        <w:rPr>
          <w:b/>
          <w:sz w:val="22"/>
          <w:szCs w:val="22"/>
          <w:lang w:val="pt-BR"/>
        </w:rPr>
        <w:t>BadgeWG</w:t>
      </w:r>
      <w:r w:rsidR="005326A4" w:rsidRPr="00ED6AC8">
        <w:rPr>
          <w:sz w:val="22"/>
          <w:szCs w:val="22"/>
          <w:lang w:val="pt-BR"/>
        </w:rPr>
        <w:t xml:space="preserve"> (</w:t>
      </w:r>
      <w:r w:rsidR="005326A4" w:rsidRPr="00ED6AC8">
        <w:rPr>
          <w:b/>
          <w:sz w:val="22"/>
          <w:szCs w:val="22"/>
          <w:lang w:val="pt-BR"/>
        </w:rPr>
        <w:t>Coprantol Duo</w:t>
      </w:r>
      <w:r w:rsidR="005326A4" w:rsidRPr="00ED6AC8">
        <w:rPr>
          <w:sz w:val="22"/>
          <w:szCs w:val="22"/>
          <w:lang w:val="pt-BR"/>
        </w:rPr>
        <w:t xml:space="preserve"> – a doua denumire comerciala ) </w:t>
      </w:r>
      <w:r w:rsidR="005326A4" w:rsidRPr="00ED6AC8">
        <w:rPr>
          <w:b/>
          <w:sz w:val="22"/>
          <w:szCs w:val="22"/>
          <w:lang w:val="pt-BR"/>
        </w:rPr>
        <w:t xml:space="preserve">- 2,5 kg/ha </w:t>
      </w:r>
      <w:r w:rsidR="005326A4" w:rsidRPr="00ED6AC8">
        <w:rPr>
          <w:sz w:val="22"/>
          <w:szCs w:val="22"/>
          <w:lang w:val="pt-BR"/>
        </w:rPr>
        <w:t>sau</w:t>
      </w:r>
      <w:r w:rsidR="00270502">
        <w:rPr>
          <w:sz w:val="22"/>
          <w:szCs w:val="22"/>
          <w:lang w:val="pt-BR"/>
        </w:rPr>
        <w:t xml:space="preserve"> </w:t>
      </w:r>
      <w:r w:rsidR="005326A4" w:rsidRPr="00ED6AC8">
        <w:rPr>
          <w:b/>
          <w:sz w:val="22"/>
          <w:szCs w:val="22"/>
          <w:lang w:val="pt-BR"/>
        </w:rPr>
        <w:t>Airone SC – 2,5 l/ha</w:t>
      </w:r>
      <w:r w:rsidR="0027687C">
        <w:rPr>
          <w:b/>
          <w:sz w:val="22"/>
          <w:szCs w:val="22"/>
          <w:lang w:val="pt-BR"/>
        </w:rPr>
        <w:t xml:space="preserve"> </w:t>
      </w:r>
      <w:r w:rsidR="0027687C" w:rsidRPr="0027687C">
        <w:rPr>
          <w:rFonts w:eastAsiaTheme="minorEastAsia"/>
          <w:lang w:val="ro-RO"/>
        </w:rPr>
        <w:t xml:space="preserve">sau </w:t>
      </w:r>
      <w:r w:rsidR="0027687C" w:rsidRPr="0027687C">
        <w:rPr>
          <w:rFonts w:eastAsiaTheme="minorEastAsia"/>
          <w:lang w:val="pt-BR"/>
        </w:rPr>
        <w:t xml:space="preserve">alte produse pentru protecție a plantelor omologate pentru a fi utilizate pe teritoriul României </w:t>
      </w:r>
      <w:proofErr w:type="spellStart"/>
      <w:r w:rsidR="0027687C" w:rsidRPr="0027687C">
        <w:rPr>
          <w:rFonts w:eastAsiaTheme="minorEastAsia"/>
          <w:lang w:val="en-US"/>
        </w:rPr>
        <w:t>recomandate</w:t>
      </w:r>
      <w:proofErr w:type="spellEnd"/>
      <w:r w:rsidR="0027687C" w:rsidRPr="0027687C">
        <w:rPr>
          <w:rFonts w:eastAsiaTheme="minorEastAsia"/>
          <w:lang w:val="en-US"/>
        </w:rPr>
        <w:t xml:space="preserve"> </w:t>
      </w:r>
      <w:proofErr w:type="spellStart"/>
      <w:r w:rsidR="0027687C" w:rsidRPr="0027687C">
        <w:rPr>
          <w:rFonts w:eastAsiaTheme="minorEastAsia"/>
          <w:lang w:val="en-US"/>
        </w:rPr>
        <w:t>în</w:t>
      </w:r>
      <w:proofErr w:type="spellEnd"/>
      <w:r w:rsidR="0027687C" w:rsidRPr="0027687C">
        <w:rPr>
          <w:rFonts w:eastAsiaTheme="minorEastAsia"/>
          <w:lang w:val="en-US"/>
        </w:rPr>
        <w:t xml:space="preserve"> </w:t>
      </w:r>
      <w:proofErr w:type="spellStart"/>
      <w:r w:rsidR="0027687C" w:rsidRPr="0027687C">
        <w:rPr>
          <w:rFonts w:eastAsiaTheme="minorEastAsia"/>
          <w:lang w:val="en-US"/>
        </w:rPr>
        <w:t>lista</w:t>
      </w:r>
      <w:proofErr w:type="spellEnd"/>
      <w:r w:rsidR="0027687C" w:rsidRPr="0027687C">
        <w:rPr>
          <w:rFonts w:eastAsiaTheme="minorEastAsia"/>
          <w:lang w:val="en-US"/>
        </w:rPr>
        <w:t xml:space="preserve"> </w:t>
      </w:r>
      <w:proofErr w:type="spellStart"/>
      <w:r w:rsidR="0027687C" w:rsidRPr="0027687C">
        <w:rPr>
          <w:rFonts w:eastAsiaTheme="minorEastAsia"/>
          <w:lang w:val="en-US"/>
        </w:rPr>
        <w:t>oficială</w:t>
      </w:r>
      <w:proofErr w:type="spellEnd"/>
      <w:r w:rsidR="0027687C" w:rsidRPr="0027687C">
        <w:rPr>
          <w:rFonts w:eastAsiaTheme="minorEastAsia"/>
          <w:lang w:val="en-US"/>
        </w:rPr>
        <w:t xml:space="preserve"> PEST- EXPERT- </w:t>
      </w:r>
      <w:hyperlink r:id="rId12" w:history="1">
        <w:r w:rsidR="0027687C" w:rsidRPr="0027687C">
          <w:rPr>
            <w:rStyle w:val="Hyperlink"/>
            <w:lang w:val="en-US"/>
          </w:rPr>
          <w:t>https://aloe.anfdf.ro</w:t>
        </w:r>
      </w:hyperlink>
      <w:r w:rsidR="0027687C" w:rsidRPr="0027687C">
        <w:rPr>
          <w:rFonts w:eastAsiaTheme="minorEastAsia"/>
          <w:lang w:val="en-US"/>
        </w:rPr>
        <w:t xml:space="preserve"> (</w:t>
      </w:r>
      <w:proofErr w:type="spellStart"/>
      <w:r w:rsidR="0027687C" w:rsidRPr="0027687C">
        <w:rPr>
          <w:rFonts w:eastAsiaTheme="minorEastAsia"/>
          <w:lang w:val="en-US"/>
        </w:rPr>
        <w:t>utilizator</w:t>
      </w:r>
      <w:proofErr w:type="spellEnd"/>
      <w:r w:rsidR="0027687C" w:rsidRPr="0027687C">
        <w:rPr>
          <w:rFonts w:eastAsiaTheme="minorEastAsia"/>
          <w:lang w:val="en-US"/>
        </w:rPr>
        <w:t xml:space="preserve"> </w:t>
      </w:r>
      <w:proofErr w:type="spellStart"/>
      <w:r w:rsidR="0027687C" w:rsidRPr="0027687C">
        <w:rPr>
          <w:rFonts w:eastAsiaTheme="minorEastAsia"/>
          <w:lang w:val="en-US"/>
        </w:rPr>
        <w:t>și</w:t>
      </w:r>
      <w:proofErr w:type="spellEnd"/>
      <w:r w:rsidR="0027687C" w:rsidRPr="0027687C">
        <w:rPr>
          <w:rFonts w:eastAsiaTheme="minorEastAsia"/>
          <w:lang w:val="en-US"/>
        </w:rPr>
        <w:t xml:space="preserve"> </w:t>
      </w:r>
      <w:proofErr w:type="spellStart"/>
      <w:r w:rsidR="0027687C" w:rsidRPr="0027687C">
        <w:rPr>
          <w:rFonts w:eastAsiaTheme="minorEastAsia"/>
          <w:lang w:val="en-US"/>
        </w:rPr>
        <w:t>parolă</w:t>
      </w:r>
      <w:proofErr w:type="spellEnd"/>
      <w:r w:rsidR="0027687C" w:rsidRPr="0027687C">
        <w:rPr>
          <w:rFonts w:eastAsiaTheme="minorEastAsia"/>
          <w:lang w:val="en-US"/>
        </w:rPr>
        <w:t xml:space="preserve">: </w:t>
      </w:r>
      <w:r w:rsidR="0027687C" w:rsidRPr="0027687C">
        <w:rPr>
          <w:rFonts w:eastAsiaTheme="minorEastAsia"/>
          <w:b/>
          <w:bCs/>
          <w:lang w:val="en-US"/>
        </w:rPr>
        <w:t>guest</w:t>
      </w:r>
      <w:r w:rsidR="0027687C" w:rsidRPr="0027687C">
        <w:rPr>
          <w:rFonts w:eastAsiaTheme="minorEastAsia"/>
          <w:lang w:val="en-US"/>
        </w:rPr>
        <w:t xml:space="preserve">). Link-ul </w:t>
      </w:r>
      <w:proofErr w:type="spellStart"/>
      <w:r w:rsidR="0027687C" w:rsidRPr="0027687C">
        <w:rPr>
          <w:rFonts w:eastAsiaTheme="minorEastAsia"/>
          <w:lang w:val="en-US"/>
        </w:rPr>
        <w:t>poate</w:t>
      </w:r>
      <w:proofErr w:type="spellEnd"/>
      <w:r w:rsidR="0027687C" w:rsidRPr="0027687C">
        <w:rPr>
          <w:rFonts w:eastAsiaTheme="minorEastAsia"/>
          <w:lang w:val="en-US"/>
        </w:rPr>
        <w:t xml:space="preserve"> fi </w:t>
      </w:r>
      <w:proofErr w:type="spellStart"/>
      <w:r w:rsidR="0027687C" w:rsidRPr="0027687C">
        <w:rPr>
          <w:rFonts w:eastAsiaTheme="minorEastAsia"/>
          <w:lang w:val="en-US"/>
        </w:rPr>
        <w:t>accesat</w:t>
      </w:r>
      <w:proofErr w:type="spellEnd"/>
      <w:r w:rsidR="0027687C" w:rsidRPr="0027687C">
        <w:rPr>
          <w:rFonts w:eastAsiaTheme="minorEastAsia"/>
          <w:lang w:val="en-US"/>
        </w:rPr>
        <w:t xml:space="preserve"> din </w:t>
      </w:r>
      <w:proofErr w:type="spellStart"/>
      <w:r w:rsidR="0027687C" w:rsidRPr="0027687C">
        <w:rPr>
          <w:rFonts w:eastAsiaTheme="minorEastAsia"/>
          <w:lang w:val="en-US"/>
        </w:rPr>
        <w:t>aplicația</w:t>
      </w:r>
      <w:proofErr w:type="spellEnd"/>
      <w:r w:rsidR="0027687C" w:rsidRPr="0027687C">
        <w:rPr>
          <w:rFonts w:eastAsiaTheme="minorEastAsia"/>
          <w:lang w:val="en-US"/>
        </w:rPr>
        <w:t xml:space="preserve"> </w:t>
      </w:r>
      <w:proofErr w:type="spellStart"/>
      <w:r w:rsidR="0027687C" w:rsidRPr="0027687C">
        <w:rPr>
          <w:rFonts w:eastAsiaTheme="minorEastAsia"/>
          <w:lang w:val="en-US"/>
        </w:rPr>
        <w:t>Mozila</w:t>
      </w:r>
      <w:proofErr w:type="spellEnd"/>
      <w:r w:rsidR="0027687C" w:rsidRPr="0027687C">
        <w:rPr>
          <w:rFonts w:eastAsiaTheme="minorEastAsia"/>
          <w:lang w:val="en-US"/>
        </w:rPr>
        <w:t xml:space="preserve"> / </w:t>
      </w:r>
      <w:r w:rsidR="0027687C" w:rsidRPr="0027687C">
        <w:rPr>
          <w:rFonts w:eastAsiaTheme="minorEastAsia"/>
          <w:b/>
          <w:bCs/>
          <w:lang w:val="en-US"/>
        </w:rPr>
        <w:t xml:space="preserve">firefox–portable-45-0.exe </w:t>
      </w:r>
      <w:r w:rsidR="0027687C" w:rsidRPr="0027687C">
        <w:rPr>
          <w:rFonts w:eastAsiaTheme="minorEastAsia"/>
          <w:lang w:val="en-US"/>
        </w:rPr>
        <w:t xml:space="preserve">- </w:t>
      </w:r>
      <w:hyperlink r:id="rId13" w:history="1">
        <w:r w:rsidR="0027687C" w:rsidRPr="0027687C">
          <w:rPr>
            <w:rStyle w:val="Hyperlink"/>
            <w:lang w:val="en-US"/>
          </w:rPr>
          <w:t>http://www.anfof.ro/index/pestexpert.html</w:t>
        </w:r>
      </w:hyperlink>
      <w:r w:rsidR="0027687C" w:rsidRPr="0027687C">
        <w:rPr>
          <w:rFonts w:eastAsiaTheme="minorEastAsia"/>
          <w:lang w:val="en-US"/>
        </w:rPr>
        <w:t>.</w:t>
      </w:r>
    </w:p>
    <w:p w14:paraId="23585DC7" w14:textId="6F67B584" w:rsidR="004820E1" w:rsidRPr="00ED6AC8" w:rsidRDefault="007A0CFD" w:rsidP="004820E1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lang w:val="pt-BR"/>
        </w:rPr>
      </w:pPr>
      <w:r w:rsidRPr="00ED6AC8">
        <w:rPr>
          <w:rFonts w:ascii="Times New Roman" w:hAnsi="Times New Roman" w:cs="Times New Roman"/>
          <w:lang w:val="pt-BR"/>
        </w:rPr>
        <w:t>Tratamentele vor incepec</w:t>
      </w:r>
      <w:r w:rsidR="0093657F" w:rsidRPr="00ED6AC8">
        <w:rPr>
          <w:rFonts w:ascii="Times New Roman" w:hAnsi="Times New Roman" w:cs="Times New Roman"/>
          <w:lang w:val="pt-BR"/>
        </w:rPr>
        <w:t>â</w:t>
      </w:r>
      <w:r w:rsidRPr="00ED6AC8">
        <w:rPr>
          <w:rFonts w:ascii="Times New Roman" w:hAnsi="Times New Roman" w:cs="Times New Roman"/>
          <w:lang w:val="pt-BR"/>
        </w:rPr>
        <w:t>nd 10-15% din mug</w:t>
      </w:r>
      <w:r w:rsidR="004820E1" w:rsidRPr="00ED6AC8">
        <w:rPr>
          <w:rFonts w:ascii="Times New Roman" w:hAnsi="Times New Roman" w:cs="Times New Roman"/>
          <w:lang w:val="pt-BR"/>
        </w:rPr>
        <w:t>urii florali sunt dezmuguriti (</w:t>
      </w:r>
      <w:r w:rsidRPr="00ED6AC8">
        <w:rPr>
          <w:rFonts w:ascii="Times New Roman" w:hAnsi="Times New Roman" w:cs="Times New Roman"/>
          <w:lang w:val="pt-BR"/>
        </w:rPr>
        <w:t xml:space="preserve">bracteele sunt distantate si la varf se vede usor culoarea verde –argintiu ) </w:t>
      </w:r>
      <w:r w:rsidR="00270502">
        <w:rPr>
          <w:rFonts w:ascii="Times New Roman" w:hAnsi="Times New Roman" w:cs="Times New Roman"/>
          <w:lang w:val="pt-BR"/>
        </w:rPr>
        <w:t>ș</w:t>
      </w:r>
      <w:r w:rsidRPr="00ED6AC8">
        <w:rPr>
          <w:rFonts w:ascii="Times New Roman" w:hAnsi="Times New Roman" w:cs="Times New Roman"/>
          <w:lang w:val="pt-BR"/>
        </w:rPr>
        <w:t xml:space="preserve">i se vor </w:t>
      </w:r>
      <w:r w:rsidR="00270502">
        <w:rPr>
          <w:rFonts w:ascii="Times New Roman" w:hAnsi="Times New Roman" w:cs="Times New Roman"/>
          <w:lang w:val="pt-BR"/>
        </w:rPr>
        <w:t>î</w:t>
      </w:r>
      <w:r w:rsidRPr="00ED6AC8">
        <w:rPr>
          <w:rFonts w:ascii="Times New Roman" w:hAnsi="Times New Roman" w:cs="Times New Roman"/>
          <w:lang w:val="pt-BR"/>
        </w:rPr>
        <w:t xml:space="preserve">ncheia </w:t>
      </w:r>
      <w:r w:rsidR="00270502">
        <w:rPr>
          <w:rFonts w:ascii="Times New Roman" w:hAnsi="Times New Roman" w:cs="Times New Roman"/>
          <w:lang w:val="pt-BR"/>
        </w:rPr>
        <w:t>î</w:t>
      </w:r>
      <w:r w:rsidRPr="00ED6AC8">
        <w:rPr>
          <w:rFonts w:ascii="Times New Roman" w:hAnsi="Times New Roman" w:cs="Times New Roman"/>
          <w:lang w:val="pt-BR"/>
        </w:rPr>
        <w:t>n urmatoarele 6 zile.</w:t>
      </w:r>
    </w:p>
    <w:p w14:paraId="101256F0" w14:textId="0340C0EE" w:rsidR="004820E1" w:rsidRPr="00ED6AC8" w:rsidRDefault="007A0CFD" w:rsidP="004820E1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lang w:val="pt-BR"/>
        </w:rPr>
      </w:pPr>
      <w:r w:rsidRPr="00ED6AC8">
        <w:rPr>
          <w:rFonts w:ascii="Times New Roman" w:hAnsi="Times New Roman" w:cs="Times New Roman"/>
          <w:lang w:val="pt-BR"/>
        </w:rPr>
        <w:t xml:space="preserve"> Tratamentul se va repeta</w:t>
      </w:r>
      <w:r w:rsidR="00270502">
        <w:rPr>
          <w:rFonts w:ascii="Times New Roman" w:hAnsi="Times New Roman" w:cs="Times New Roman"/>
          <w:lang w:val="pt-BR"/>
        </w:rPr>
        <w:t xml:space="preserve"> </w:t>
      </w:r>
      <w:r w:rsidRPr="00ED6AC8">
        <w:rPr>
          <w:rFonts w:ascii="Times New Roman" w:hAnsi="Times New Roman" w:cs="Times New Roman"/>
          <w:lang w:val="pt-BR"/>
        </w:rPr>
        <w:t xml:space="preserve">unde intervine o ploaie </w:t>
      </w:r>
      <w:r w:rsidR="00270502">
        <w:rPr>
          <w:rFonts w:ascii="Times New Roman" w:hAnsi="Times New Roman" w:cs="Times New Roman"/>
          <w:lang w:val="pt-BR"/>
        </w:rPr>
        <w:t>î</w:t>
      </w:r>
      <w:r w:rsidRPr="00ED6AC8">
        <w:rPr>
          <w:rFonts w:ascii="Times New Roman" w:hAnsi="Times New Roman" w:cs="Times New Roman"/>
          <w:lang w:val="pt-BR"/>
        </w:rPr>
        <w:t>nainte ca pomii sa se zvante (</w:t>
      </w:r>
      <w:r w:rsidR="00302720">
        <w:rPr>
          <w:rFonts w:ascii="Times New Roman" w:hAnsi="Times New Roman" w:cs="Times New Roman"/>
          <w:lang w:val="pt-BR"/>
        </w:rPr>
        <w:t>î</w:t>
      </w:r>
      <w:r w:rsidRPr="00ED6AC8">
        <w:rPr>
          <w:rFonts w:ascii="Times New Roman" w:hAnsi="Times New Roman" w:cs="Times New Roman"/>
          <w:lang w:val="pt-BR"/>
        </w:rPr>
        <w:t>n mai pu</w:t>
      </w:r>
      <w:r w:rsidR="00302720">
        <w:rPr>
          <w:rFonts w:ascii="Times New Roman" w:hAnsi="Times New Roman" w:cs="Times New Roman"/>
          <w:lang w:val="pt-BR"/>
        </w:rPr>
        <w:t>ț</w:t>
      </w:r>
      <w:r w:rsidRPr="00ED6AC8">
        <w:rPr>
          <w:rFonts w:ascii="Times New Roman" w:hAnsi="Times New Roman" w:cs="Times New Roman"/>
          <w:lang w:val="pt-BR"/>
        </w:rPr>
        <w:t>in de ½ ora). Perioada efectuarii tratamentului se prelungeste cu numarul de zile nefavorabile efectuarii acestuia (ploi, temperaturi scazute, 1-5°C, lapovita, etc.)</w:t>
      </w:r>
      <w:r w:rsidR="004820E1" w:rsidRPr="00ED6AC8">
        <w:rPr>
          <w:rFonts w:ascii="Times New Roman" w:hAnsi="Times New Roman" w:cs="Times New Roman"/>
          <w:lang w:val="pt-BR"/>
        </w:rPr>
        <w:t>.</w:t>
      </w:r>
    </w:p>
    <w:p w14:paraId="2A9DFF25" w14:textId="77777777" w:rsidR="004820E1" w:rsidRPr="00ED6AC8" w:rsidRDefault="007A0CFD" w:rsidP="004820E1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lang w:val="pt-BR"/>
        </w:rPr>
      </w:pPr>
      <w:r w:rsidRPr="00ED6AC8">
        <w:rPr>
          <w:rFonts w:ascii="Times New Roman" w:hAnsi="Times New Roman" w:cs="Times New Roman"/>
          <w:lang w:val="pt-BR"/>
        </w:rPr>
        <w:t xml:space="preserve">Metode alternative de combatere: mecanice, fizice, biologice; Metodele durabile: biologice, fizice, mecanice si alte metode nechimice trbuie preferate metodelor chimice, daca acestea asigura un control corespunzator al organismelor daunatoare. </w:t>
      </w:r>
    </w:p>
    <w:p w14:paraId="0A51ECA3" w14:textId="27E2755C" w:rsidR="004820E1" w:rsidRDefault="007A0CFD" w:rsidP="004820E1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lang w:val="pt-BR"/>
        </w:rPr>
      </w:pPr>
      <w:r w:rsidRPr="00ED6AC8">
        <w:rPr>
          <w:rFonts w:ascii="Times New Roman" w:hAnsi="Times New Roman" w:cs="Times New Roman"/>
          <w:lang w:val="pt-BR"/>
        </w:rPr>
        <w:t xml:space="preserve">Alte </w:t>
      </w:r>
      <w:r w:rsidR="004820E1" w:rsidRPr="00ED6AC8">
        <w:rPr>
          <w:rFonts w:ascii="Times New Roman" w:hAnsi="Times New Roman" w:cs="Times New Roman"/>
          <w:lang w:val="pt-BR"/>
        </w:rPr>
        <w:t>recomandari: Verificati, cu</w:t>
      </w:r>
      <w:r w:rsidRPr="00ED6AC8">
        <w:rPr>
          <w:rFonts w:ascii="Times New Roman" w:hAnsi="Times New Roman" w:cs="Times New Roman"/>
          <w:lang w:val="pt-BR"/>
        </w:rPr>
        <w:t xml:space="preserve"> atentie, recomandarile cu privire la compatibilitatea produselor atunci cand inten</w:t>
      </w:r>
      <w:r w:rsidR="00302720">
        <w:rPr>
          <w:rFonts w:ascii="Times New Roman" w:hAnsi="Times New Roman" w:cs="Times New Roman"/>
          <w:lang w:val="pt-BR"/>
        </w:rPr>
        <w:t>ț</w:t>
      </w:r>
      <w:r w:rsidRPr="00ED6AC8">
        <w:rPr>
          <w:rFonts w:ascii="Times New Roman" w:hAnsi="Times New Roman" w:cs="Times New Roman"/>
          <w:lang w:val="pt-BR"/>
        </w:rPr>
        <w:t>iona</w:t>
      </w:r>
      <w:r w:rsidR="00302720">
        <w:rPr>
          <w:rFonts w:ascii="Times New Roman" w:hAnsi="Times New Roman" w:cs="Times New Roman"/>
          <w:lang w:val="pt-BR"/>
        </w:rPr>
        <w:t>ț</w:t>
      </w:r>
      <w:r w:rsidRPr="00ED6AC8">
        <w:rPr>
          <w:rFonts w:ascii="Times New Roman" w:hAnsi="Times New Roman" w:cs="Times New Roman"/>
          <w:lang w:val="pt-BR"/>
        </w:rPr>
        <w:t>i s</w:t>
      </w:r>
      <w:r w:rsidR="00302720">
        <w:rPr>
          <w:rFonts w:ascii="Times New Roman" w:hAnsi="Times New Roman" w:cs="Times New Roman"/>
          <w:lang w:val="pt-BR"/>
        </w:rPr>
        <w:t xml:space="preserve">ă </w:t>
      </w:r>
      <w:r w:rsidRPr="00ED6AC8">
        <w:rPr>
          <w:rFonts w:ascii="Times New Roman" w:hAnsi="Times New Roman" w:cs="Times New Roman"/>
          <w:lang w:val="pt-BR"/>
        </w:rPr>
        <w:t>aplica</w:t>
      </w:r>
      <w:r w:rsidR="00302720">
        <w:rPr>
          <w:rFonts w:ascii="Times New Roman" w:hAnsi="Times New Roman" w:cs="Times New Roman"/>
          <w:lang w:val="pt-BR"/>
        </w:rPr>
        <w:t>ț</w:t>
      </w:r>
      <w:r w:rsidRPr="00ED6AC8">
        <w:rPr>
          <w:rFonts w:ascii="Times New Roman" w:hAnsi="Times New Roman" w:cs="Times New Roman"/>
          <w:lang w:val="pt-BR"/>
        </w:rPr>
        <w:t>i amestecuri de produse de protec</w:t>
      </w:r>
      <w:r w:rsidR="00302720">
        <w:rPr>
          <w:rFonts w:ascii="Times New Roman" w:hAnsi="Times New Roman" w:cs="Times New Roman"/>
          <w:lang w:val="pt-BR"/>
        </w:rPr>
        <w:t>ț</w:t>
      </w:r>
      <w:r w:rsidRPr="00ED6AC8">
        <w:rPr>
          <w:rFonts w:ascii="Times New Roman" w:hAnsi="Times New Roman" w:cs="Times New Roman"/>
          <w:lang w:val="pt-BR"/>
        </w:rPr>
        <w:t xml:space="preserve">ie a plantelor! </w:t>
      </w:r>
    </w:p>
    <w:p w14:paraId="105FF1E3" w14:textId="4C5C82A2" w:rsidR="00352112" w:rsidRPr="00352112" w:rsidRDefault="00352112" w:rsidP="004820E1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lang w:val="pt-BR"/>
        </w:rPr>
      </w:pPr>
      <w:r w:rsidRPr="00352112">
        <w:rPr>
          <w:rFonts w:ascii="Times New Roman" w:hAnsi="Times New Roman" w:cs="Times New Roman"/>
          <w:b/>
          <w:bCs/>
          <w:lang w:val="pt-BR"/>
        </w:rPr>
        <w:t>Alte recomandări:</w:t>
      </w:r>
    </w:p>
    <w:p w14:paraId="47E62CC3" w14:textId="77777777" w:rsidR="00302720" w:rsidRPr="00302720" w:rsidRDefault="00302720" w:rsidP="00302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Luați măsurile ce se impun pentru protecția mediului înconjurător!</w:t>
      </w:r>
    </w:p>
    <w:p w14:paraId="6450017D" w14:textId="6F696EF0" w:rsidR="00302720" w:rsidRPr="00302720" w:rsidRDefault="00302720" w:rsidP="00302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cu strictețe normele de lucru cu produse pentru protecție a plantelor, normele de protecție și securitatea muncii, de protecție a albinelor și a animalelor în conformitate cu: Legea nr. 383/ 2013 a apiculturii cu modificările și completările ulterioare și Ordinul nr. 127/ 1991 al ACA din România, 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Ordinul comun nr. 45/ 1991 al Ministerului Agriculturii și Alimentației, 15b/ 3404/ 1991 al Dep. Pentru Administrație Locală și 1786/TB/ 1991 al Ministerului Transporturilor precum și cu Protocolul de colaborare nr. 328432/ 2015,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ncheiat cu ROMAPIS (privind implementarea legislației, în vederea protecției familiilor de albine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mpotriva intoxicației cu produse pentru protecți</w:t>
      </w:r>
      <w:r>
        <w:rPr>
          <w:rFonts w:ascii="Times New Roman" w:hAnsi="Times New Roman" w:cs="Times New Roman"/>
          <w:sz w:val="24"/>
          <w:szCs w:val="24"/>
          <w:lang w:val="ro-RO"/>
        </w:rPr>
        <w:t>e a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plantelor);</w:t>
      </w:r>
    </w:p>
    <w:p w14:paraId="6C5611A4" w14:textId="77777777" w:rsidR="00302720" w:rsidRPr="00302720" w:rsidRDefault="00302720" w:rsidP="00302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>Respectați prevederile Ordinului Ministrului Agriculturii și Dezvoltării Rurale nr. 297/ 2017 privind aprobarea Codului de bune practici pentru utilizarea în siguranță a produselor de protecție a plantelor.</w:t>
      </w:r>
    </w:p>
    <w:p w14:paraId="3CEFBCBC" w14:textId="78F63C59" w:rsidR="00302720" w:rsidRPr="00302720" w:rsidRDefault="00302720" w:rsidP="003027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Respectați obligațiile ce vă revin conform Ordinul Ministrului Agriculturii și Dezvoltării Rurale, al Ministrului Mediului, Apelor și Pădurilor și al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reședintelui Autorității Naționale Sanitare Veterinare și pentru Siguramța Alimentelor nr. 352/ 636/ 54/ 2015 pentru aprobarea normelor privind ecocondiționalitatea </w:t>
      </w: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>n cadrul schemelor și măsurilor de sprijin pentru fermieri</w:t>
      </w:r>
      <w:r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România, cu modificările ulterioare. </w:t>
      </w:r>
    </w:p>
    <w:p w14:paraId="54285163" w14:textId="77777777" w:rsidR="00302720" w:rsidRPr="00302720" w:rsidRDefault="00302720" w:rsidP="00302720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Conform Reg. (CE) Nr. 1107/2009 al Parlamentului European și al Consiliului din 21.oct.2009, privind introducerea pe piață a produselor fitosanitare, fiecare utilizator a produselor de protecție a plantelor trebuie să păstreze cel puțin 3 ani evidența contabilă a produselor de protecție a plantelor depozitate și utilizate, precum și evidența efectuării fiecarui tratament prin completare într-un registru după modelul de mai jos: </w:t>
      </w:r>
    </w:p>
    <w:p w14:paraId="29C71BAE" w14:textId="259ACB1C" w:rsidR="00302720" w:rsidRPr="00302720" w:rsidRDefault="00302720" w:rsidP="00302720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Nume și prenume fermier</w:t>
      </w:r>
      <w:r w:rsidR="00C63039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/ societate comercială…... </w:t>
      </w:r>
    </w:p>
    <w:p w14:paraId="567DBE72" w14:textId="3E6EBB47" w:rsidR="00302720" w:rsidRPr="00302720" w:rsidRDefault="00302720" w:rsidP="00302720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Domiciliu fermier</w:t>
      </w:r>
      <w:r w:rsidR="00C63039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/sediul social al societății……. (Comuna, județul) </w:t>
      </w:r>
    </w:p>
    <w:p w14:paraId="31000C42" w14:textId="39135EEC" w:rsidR="00302720" w:rsidRPr="00302720" w:rsidRDefault="00302720" w:rsidP="00302720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Ferma (nume/număr,</w:t>
      </w:r>
      <w:r w:rsidR="00C63039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adresa)……. </w:t>
      </w:r>
    </w:p>
    <w:p w14:paraId="69E30894" w14:textId="1350E7CE" w:rsidR="00302720" w:rsidRPr="00302720" w:rsidRDefault="00302720" w:rsidP="00302720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Toate tratamentele cu produse de protecți</w:t>
      </w:r>
      <w:r w:rsidR="00C63039">
        <w:rPr>
          <w:rFonts w:ascii="Times New Roman" w:eastAsiaTheme="minorEastAsia" w:hAnsi="Times New Roman" w:cs="Times New Roman"/>
          <w:sz w:val="24"/>
          <w:szCs w:val="24"/>
          <w:lang w:val="pt-BR"/>
        </w:rPr>
        <w:t>e a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plantelor se completează la zi </w:t>
      </w:r>
      <w:r w:rsidR="00C63039">
        <w:rPr>
          <w:rFonts w:ascii="Times New Roman" w:eastAsiaTheme="minorEastAsia" w:hAnsi="Times New Roman" w:cs="Times New Roman"/>
          <w:sz w:val="24"/>
          <w:szCs w:val="24"/>
          <w:lang w:val="pt-BR"/>
        </w:rPr>
        <w:t>î</w:t>
      </w: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n: </w:t>
      </w:r>
    </w:p>
    <w:p w14:paraId="45CD1658" w14:textId="2E8AA4F2" w:rsidR="00302720" w:rsidRPr="00302720" w:rsidRDefault="00302720" w:rsidP="00302720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302720">
        <w:rPr>
          <w:rFonts w:ascii="Times New Roman" w:eastAsiaTheme="minorEastAsia" w:hAnsi="Times New Roman" w:cs="Times New Roman"/>
          <w:sz w:val="24"/>
          <w:szCs w:val="24"/>
          <w:lang w:val="pt-BR"/>
        </w:rPr>
        <w:t>Registrul de evidență a tratamentelor</w:t>
      </w:r>
      <w:r w:rsidR="00C63039">
        <w:rPr>
          <w:rFonts w:ascii="Times New Roman" w:eastAsiaTheme="minorEastAsia" w:hAnsi="Times New Roman" w:cs="Times New Roman"/>
          <w:sz w:val="24"/>
          <w:szCs w:val="24"/>
          <w:lang w:val="pt-BR"/>
        </w:rPr>
        <w:t xml:space="preserve"> cu produse de protecție a plantelor</w:t>
      </w:r>
    </w:p>
    <w:tbl>
      <w:tblPr>
        <w:tblStyle w:val="Tabelgril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952"/>
        <w:gridCol w:w="794"/>
        <w:gridCol w:w="992"/>
        <w:gridCol w:w="992"/>
        <w:gridCol w:w="765"/>
        <w:gridCol w:w="709"/>
        <w:gridCol w:w="709"/>
        <w:gridCol w:w="850"/>
        <w:gridCol w:w="1134"/>
        <w:gridCol w:w="851"/>
        <w:gridCol w:w="957"/>
      </w:tblGrid>
      <w:tr w:rsidR="00302720" w:rsidRPr="00302720" w14:paraId="35CD0C1C" w14:textId="77777777" w:rsidTr="00AC7B5A">
        <w:trPr>
          <w:trHeight w:val="265"/>
          <w:jc w:val="center"/>
        </w:trPr>
        <w:tc>
          <w:tcPr>
            <w:tcW w:w="716" w:type="dxa"/>
            <w:vMerge w:val="restart"/>
          </w:tcPr>
          <w:p w14:paraId="67DEFC1E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Data efectuării trata</w:t>
            </w:r>
          </w:p>
          <w:p w14:paraId="707AF60B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mentu</w:t>
            </w:r>
          </w:p>
          <w:p w14:paraId="383DFA75" w14:textId="66522C11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lui</w:t>
            </w:r>
            <w:r w:rsidR="00C63039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 (ziua, luna, anul)</w:t>
            </w:r>
          </w:p>
        </w:tc>
        <w:tc>
          <w:tcPr>
            <w:tcW w:w="952" w:type="dxa"/>
            <w:vMerge w:val="restart"/>
          </w:tcPr>
          <w:p w14:paraId="3CBE3B16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Cultura și locul unde este situat terenul</w:t>
            </w:r>
          </w:p>
        </w:tc>
        <w:tc>
          <w:tcPr>
            <w:tcW w:w="794" w:type="dxa"/>
            <w:vMerge w:val="restart"/>
          </w:tcPr>
          <w:p w14:paraId="68ED9A00" w14:textId="76F7BDCB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Timpul</w:t>
            </w:r>
            <w:proofErr w:type="spellEnd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r w:rsidR="00C63039">
              <w:rPr>
                <w:rFonts w:ascii="Times New Roman" w:eastAsiaTheme="minorEastAsia" w:hAnsi="Times New Roman" w:cs="Times New Roman"/>
                <w:sz w:val="18"/>
                <w:szCs w:val="18"/>
              </w:rPr>
              <w:t>(</w:t>
            </w:r>
            <w:proofErr w:type="spellStart"/>
            <w:r w:rsidR="00C63039">
              <w:rPr>
                <w:rFonts w:ascii="Times New Roman" w:eastAsiaTheme="minorEastAsia" w:hAnsi="Times New Roman" w:cs="Times New Roman"/>
                <w:sz w:val="18"/>
                <w:szCs w:val="18"/>
              </w:rPr>
              <w:t>fenofaza</w:t>
            </w:r>
            <w:proofErr w:type="spellEnd"/>
            <w:r w:rsidR="00C6303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aplică</w:t>
            </w:r>
            <w:proofErr w:type="spellEnd"/>
          </w:p>
          <w:p w14:paraId="7E39D820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rii</w:t>
            </w:r>
            <w:proofErr w:type="spellEnd"/>
          </w:p>
        </w:tc>
        <w:tc>
          <w:tcPr>
            <w:tcW w:w="5017" w:type="dxa"/>
            <w:gridSpan w:val="6"/>
          </w:tcPr>
          <w:p w14:paraId="0C253392" w14:textId="19391660" w:rsidR="00302720" w:rsidRPr="00302720" w:rsidRDefault="00302720" w:rsidP="00302720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Tratamentul</w:t>
            </w:r>
            <w:proofErr w:type="spellEnd"/>
            <w:r w:rsidR="00C63039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efectuat</w:t>
            </w:r>
            <w:proofErr w:type="spellEnd"/>
          </w:p>
        </w:tc>
        <w:tc>
          <w:tcPr>
            <w:tcW w:w="1134" w:type="dxa"/>
            <w:vMerge w:val="restart"/>
          </w:tcPr>
          <w:p w14:paraId="0A3829E8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Numele persoanei responsa- bile pentru efectuarea tatamentului. </w:t>
            </w: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Semnătura</w:t>
            </w:r>
            <w:proofErr w:type="spellEnd"/>
          </w:p>
        </w:tc>
        <w:tc>
          <w:tcPr>
            <w:tcW w:w="851" w:type="dxa"/>
            <w:vMerge w:val="restart"/>
          </w:tcPr>
          <w:p w14:paraId="27AC4FCC" w14:textId="57AA0254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 xml:space="preserve">Data </w:t>
            </w:r>
            <w:r w:rsidR="00C63039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î</w:t>
            </w: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nceperii recol- tării produ- sului agricol</w:t>
            </w:r>
          </w:p>
        </w:tc>
        <w:tc>
          <w:tcPr>
            <w:tcW w:w="957" w:type="dxa"/>
            <w:vMerge w:val="restart"/>
          </w:tcPr>
          <w:p w14:paraId="187E0686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Nr </w:t>
            </w: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și</w:t>
            </w:r>
            <w:proofErr w:type="spellEnd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data doc </w:t>
            </w: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prin</w:t>
            </w:r>
            <w:proofErr w:type="spellEnd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care s-a </w:t>
            </w: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dat</w:t>
            </w:r>
            <w:proofErr w:type="spellEnd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in </w:t>
            </w: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consum</w:t>
            </w:r>
            <w:proofErr w:type="spellEnd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populației</w:t>
            </w:r>
            <w:proofErr w:type="spellEnd"/>
          </w:p>
        </w:tc>
      </w:tr>
      <w:tr w:rsidR="00302720" w:rsidRPr="00302720" w14:paraId="46B38D8E" w14:textId="77777777" w:rsidTr="00AC7B5A">
        <w:trPr>
          <w:trHeight w:val="265"/>
          <w:jc w:val="center"/>
        </w:trPr>
        <w:tc>
          <w:tcPr>
            <w:tcW w:w="716" w:type="dxa"/>
            <w:vMerge/>
          </w:tcPr>
          <w:p w14:paraId="16566850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14:paraId="0BEC8C3F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14:paraId="0CCD15CC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32C9DC79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Agenti de dăunare combătuți</w:t>
            </w:r>
          </w:p>
          <w:p w14:paraId="051BCBA0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Boli / dăunători/ buruieni</w:t>
            </w:r>
          </w:p>
        </w:tc>
        <w:tc>
          <w:tcPr>
            <w:tcW w:w="992" w:type="dxa"/>
            <w:vMerge w:val="restart"/>
          </w:tcPr>
          <w:p w14:paraId="165F7F69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  <w:lang w:val="pt-BR"/>
              </w:rPr>
              <w:t>Denumire produs de protecție a plantelor folosit</w:t>
            </w:r>
          </w:p>
        </w:tc>
        <w:tc>
          <w:tcPr>
            <w:tcW w:w="1474" w:type="dxa"/>
            <w:gridSpan w:val="2"/>
          </w:tcPr>
          <w:p w14:paraId="68A7A127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gram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Doza :</w:t>
            </w:r>
            <w:proofErr w:type="gramEnd"/>
          </w:p>
        </w:tc>
        <w:tc>
          <w:tcPr>
            <w:tcW w:w="709" w:type="dxa"/>
            <w:vMerge w:val="restart"/>
          </w:tcPr>
          <w:p w14:paraId="01DE5659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Supra-</w:t>
            </w: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fața</w:t>
            </w:r>
            <w:proofErr w:type="spellEnd"/>
          </w:p>
          <w:p w14:paraId="49A34D81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(ha)</w:t>
            </w:r>
          </w:p>
        </w:tc>
        <w:tc>
          <w:tcPr>
            <w:tcW w:w="850" w:type="dxa"/>
            <w:vMerge w:val="restart"/>
          </w:tcPr>
          <w:p w14:paraId="18E1180C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Cantitățiutilizate</w:t>
            </w:r>
            <w:proofErr w:type="spellEnd"/>
          </w:p>
          <w:p w14:paraId="0E644819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(kg/</w:t>
            </w: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litri</w:t>
            </w:r>
            <w:proofErr w:type="spellEnd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vMerge/>
          </w:tcPr>
          <w:p w14:paraId="382EA25A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017242B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14:paraId="42D37EC8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302720" w:rsidRPr="00302720" w14:paraId="263E4443" w14:textId="77777777" w:rsidTr="00AC7B5A">
        <w:trPr>
          <w:trHeight w:val="265"/>
          <w:jc w:val="center"/>
        </w:trPr>
        <w:tc>
          <w:tcPr>
            <w:tcW w:w="716" w:type="dxa"/>
            <w:vMerge/>
          </w:tcPr>
          <w:p w14:paraId="714A64B0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  <w:vMerge/>
          </w:tcPr>
          <w:p w14:paraId="4E05A78D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94" w:type="dxa"/>
            <w:vMerge/>
          </w:tcPr>
          <w:p w14:paraId="49F9B08D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AF6F362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EE3A821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765" w:type="dxa"/>
          </w:tcPr>
          <w:p w14:paraId="3EB5D64D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Omolo </w:t>
            </w: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gată</w:t>
            </w:r>
            <w:proofErr w:type="spellEnd"/>
          </w:p>
        </w:tc>
        <w:tc>
          <w:tcPr>
            <w:tcW w:w="709" w:type="dxa"/>
          </w:tcPr>
          <w:p w14:paraId="60EB196B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  <w:proofErr w:type="spellStart"/>
            <w:r w:rsidRPr="00302720">
              <w:rPr>
                <w:rFonts w:ascii="Times New Roman" w:eastAsiaTheme="minorEastAsia" w:hAnsi="Times New Roman" w:cs="Times New Roman"/>
                <w:sz w:val="18"/>
                <w:szCs w:val="18"/>
              </w:rPr>
              <w:t>Folosită</w:t>
            </w:r>
            <w:proofErr w:type="spellEnd"/>
          </w:p>
        </w:tc>
        <w:tc>
          <w:tcPr>
            <w:tcW w:w="709" w:type="dxa"/>
            <w:vMerge/>
          </w:tcPr>
          <w:p w14:paraId="363B08B8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1CA556F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A3C4DF5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6876030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14:paraId="6281BD0B" w14:textId="77777777" w:rsidR="00302720" w:rsidRPr="00302720" w:rsidRDefault="00302720" w:rsidP="003027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</w:tbl>
    <w:p w14:paraId="3DCD7C15" w14:textId="77777777" w:rsidR="00302720" w:rsidRPr="00302720" w:rsidRDefault="00302720" w:rsidP="00302720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ro-RO"/>
        </w:rPr>
      </w:pPr>
    </w:p>
    <w:p w14:paraId="0F1DFEE2" w14:textId="77777777" w:rsidR="00302720" w:rsidRPr="00302720" w:rsidRDefault="00302720" w:rsidP="0030272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Conform Reg. CE nr.1107/2009, art. 67 (1) producătorul agricol numerotează paginile registrului. Pe spatele registrului (pe ultima pagină) se menționează câte pagini conține registrul, purtând semnătura și ștampila după caz a fermierului sau administratorului societății. Inspectorii Oficiului Fitosanitar pot sancționa fermierul, conform HG nr. 1230 din 12 decembrie 2012 privind stabilirea unor măsuri pentru aplicarea prevederilor Regulamentului (CE) nr. 1107/2009 al Parlamentului European și al Consiliului din 21 octombrie 2009 privind introducerea pe piață a produselor fitosanitare și de abrogare a Directivelor 79/117/CEE si 91/414/CEE ale Consiliului, art. 3, pct. 1 (i), (1). Constituie contravenții următoarele fapte: i.) nerespectarea de către utilizatorii profesioniști a prevederilor art.67 alin. (1) din Regulamentul (CE) nr. 1107/2009 privind menținerea evidenței pe o perioadă de cel puțin 3 ani a produselor de protecție a plantelor pe care le utilizează (se sancționează cu amendă de la 8.000 lei la 10.000 lei). </w:t>
      </w:r>
    </w:p>
    <w:p w14:paraId="0CC7E1FF" w14:textId="77777777" w:rsidR="00302720" w:rsidRPr="00302720" w:rsidRDefault="00302720" w:rsidP="00302720">
      <w:pPr>
        <w:spacing w:after="0" w:line="240" w:lineRule="auto"/>
        <w:ind w:firstLine="708"/>
        <w:rPr>
          <w:rFonts w:ascii="Times New Roman" w:hAnsi="Times New Roman" w:cs="Times New Roman"/>
          <w:caps/>
          <w:sz w:val="24"/>
          <w:szCs w:val="24"/>
          <w:lang w:val="ro-RO"/>
        </w:rPr>
      </w:pPr>
      <w:r w:rsidRPr="00302720">
        <w:rPr>
          <w:rFonts w:ascii="Times New Roman" w:hAnsi="Times New Roman" w:cs="Times New Roman"/>
          <w:b/>
          <w:bCs/>
          <w:sz w:val="24"/>
          <w:szCs w:val="24"/>
          <w:lang w:val="ro-RO"/>
        </w:rPr>
        <w:t>ÎN ATENȚIA FERMIERILOR !</w:t>
      </w:r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 Se vor respecta normele de ecocondiționalitate prevăzute în Ordinul nr. 869/2016. Se vor respecta condițiile de depozitare, manipulare și utilizare a produselor de protecție a plantelor în exploatațiile agricole, conform Ghidului de bune practici de utilizare și depozitare a produselor de protecția plantelor, </w:t>
      </w:r>
      <w:hyperlink r:id="rId14" w:history="1">
        <w:r w:rsidRPr="00302720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ro-RO"/>
          </w:rPr>
          <w:t>https://www.anfdf.ro/sanatate/ghid/ghiduri.html</w:t>
        </w:r>
      </w:hyperlink>
      <w:r w:rsidRPr="00302720">
        <w:rPr>
          <w:rFonts w:ascii="Times New Roman" w:hAnsi="Times New Roman" w:cs="Times New Roman"/>
          <w:sz w:val="24"/>
          <w:szCs w:val="24"/>
          <w:lang w:val="ro-RO"/>
        </w:rPr>
        <w:t xml:space="preserve"> elaborate de Autoritatea  Națională Fitosanitară.</w:t>
      </w:r>
    </w:p>
    <w:p w14:paraId="72801B27" w14:textId="77777777" w:rsidR="002F2E43" w:rsidRDefault="002F2E43" w:rsidP="004A18AC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lang w:val="pt-BR"/>
        </w:rPr>
      </w:pPr>
    </w:p>
    <w:p w14:paraId="5F682C96" w14:textId="77777777" w:rsidR="004A18AC" w:rsidRPr="00ED6AC8" w:rsidRDefault="001A15AF" w:rsidP="004A18AC">
      <w:pPr>
        <w:pStyle w:val="Frspaiere"/>
        <w:spacing w:line="276" w:lineRule="auto"/>
        <w:ind w:firstLine="708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eastAsiaTheme="minorHAnsi" w:hAnsi="Times New Roman" w:cs="Times New Roman"/>
          <w:noProof/>
          <w:color w:val="000000"/>
          <w:lang w:val="ro-RO" w:eastAsia="ro-RO"/>
        </w:rPr>
        <w:drawing>
          <wp:inline distT="0" distB="0" distL="0" distR="0" wp14:anchorId="0DEA94B1" wp14:editId="7B56F947">
            <wp:extent cx="5157216" cy="1298448"/>
            <wp:effectExtent l="0" t="0" r="0" b="0"/>
            <wp:docPr id="120441397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13970" name="Imagine 120441397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7216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8AC" w:rsidRPr="00ED6AC8" w:rsidSect="00111B69">
      <w:type w:val="continuous"/>
      <w:pgSz w:w="11906" w:h="16838"/>
      <w:pgMar w:top="567" w:right="567" w:bottom="567" w:left="1134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E00B0" w14:textId="77777777" w:rsidR="008C2936" w:rsidRDefault="008C2936" w:rsidP="00B46679">
      <w:pPr>
        <w:spacing w:after="0" w:line="240" w:lineRule="auto"/>
      </w:pPr>
      <w:r>
        <w:separator/>
      </w:r>
    </w:p>
  </w:endnote>
  <w:endnote w:type="continuationSeparator" w:id="0">
    <w:p w14:paraId="23D92628" w14:textId="77777777" w:rsidR="008C2936" w:rsidRDefault="008C2936" w:rsidP="00B4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D2816" w14:textId="77777777" w:rsidR="008C2936" w:rsidRDefault="008C2936" w:rsidP="00B46679">
      <w:pPr>
        <w:spacing w:after="0" w:line="240" w:lineRule="auto"/>
      </w:pPr>
      <w:r>
        <w:separator/>
      </w:r>
    </w:p>
  </w:footnote>
  <w:footnote w:type="continuationSeparator" w:id="0">
    <w:p w14:paraId="3AC7C6CA" w14:textId="77777777" w:rsidR="008C2936" w:rsidRDefault="008C2936" w:rsidP="00B46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3114"/>
      <w:gridCol w:w="7129"/>
    </w:tblGrid>
    <w:tr w:rsidR="001A15AF" w:rsidRPr="000402AF" w14:paraId="0EB8DA99" w14:textId="77777777" w:rsidTr="003F1D74">
      <w:trPr>
        <w:trHeight w:val="841"/>
        <w:jc w:val="center"/>
      </w:trPr>
      <w:tc>
        <w:tcPr>
          <w:tcW w:w="311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F1E73C8" w14:textId="77777777" w:rsidR="001A15AF" w:rsidRPr="00941908" w:rsidRDefault="001A15AF" w:rsidP="001A15AF">
          <w:pPr>
            <w:pStyle w:val="Antet"/>
            <w:rPr>
              <w:sz w:val="8"/>
              <w:szCs w:val="8"/>
            </w:rPr>
          </w:pPr>
        </w:p>
        <w:p w14:paraId="7E4CA674" w14:textId="77777777" w:rsidR="001A15AF" w:rsidRPr="000402AF" w:rsidRDefault="001A15AF" w:rsidP="001A15AF">
          <w:pPr>
            <w:pStyle w:val="Antet"/>
            <w:rPr>
              <w:sz w:val="16"/>
              <w:szCs w:val="16"/>
            </w:rPr>
          </w:pPr>
          <w:r w:rsidRPr="000402AF">
            <w:rPr>
              <w:noProof/>
              <w:sz w:val="16"/>
              <w:szCs w:val="16"/>
              <w:lang w:val="ro-RO" w:eastAsia="ro-RO"/>
            </w:rPr>
            <w:drawing>
              <wp:anchor distT="0" distB="0" distL="0" distR="0" simplePos="0" relativeHeight="251658240" behindDoc="1" locked="0" layoutInCell="1" allowOverlap="1" wp14:anchorId="59F68AEE" wp14:editId="623CB8A8">
                <wp:simplePos x="0" y="0"/>
                <wp:positionH relativeFrom="page">
                  <wp:posOffset>59690</wp:posOffset>
                </wp:positionH>
                <wp:positionV relativeFrom="paragraph">
                  <wp:posOffset>3810</wp:posOffset>
                </wp:positionV>
                <wp:extent cx="1457325" cy="295275"/>
                <wp:effectExtent l="0" t="0" r="9525" b="9525"/>
                <wp:wrapNone/>
                <wp:docPr id="1213533738" name="Imagine 3" descr="A green and black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1" descr="A green and black logo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295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D9AB86F" w14:textId="77777777" w:rsidR="001A15AF" w:rsidRPr="000402AF" w:rsidRDefault="001A15AF" w:rsidP="001A15AF">
          <w:pPr>
            <w:pStyle w:val="Antet"/>
            <w:spacing w:after="0"/>
            <w:rPr>
              <w:b/>
              <w:sz w:val="16"/>
              <w:szCs w:val="16"/>
              <w:lang w:val="pt-BR"/>
            </w:rPr>
          </w:pPr>
          <w:r w:rsidRPr="000402AF">
            <w:rPr>
              <w:b/>
              <w:sz w:val="16"/>
              <w:szCs w:val="16"/>
              <w:lang w:val="pt-BR"/>
            </w:rPr>
            <w:t>OFICIUL FITOSANITAR MUREȘ</w:t>
          </w:r>
        </w:p>
        <w:p w14:paraId="13A263C0" w14:textId="77777777" w:rsidR="001A15AF" w:rsidRPr="000402AF" w:rsidRDefault="001A15AF" w:rsidP="001A15AF">
          <w:pPr>
            <w:pStyle w:val="Antet"/>
            <w:spacing w:after="0"/>
            <w:rPr>
              <w:sz w:val="16"/>
              <w:szCs w:val="16"/>
            </w:rPr>
          </w:pPr>
          <w:r w:rsidRPr="000402AF">
            <w:rPr>
              <w:sz w:val="16"/>
              <w:szCs w:val="16"/>
              <w:lang w:val="pt-BR"/>
            </w:rPr>
            <w:t xml:space="preserve">Str. Dezrobirii, nr. 80, Tg. </w:t>
          </w:r>
          <w:r w:rsidRPr="000402AF">
            <w:rPr>
              <w:sz w:val="16"/>
              <w:szCs w:val="16"/>
            </w:rPr>
            <w:t xml:space="preserve">Mureș, </w:t>
          </w:r>
          <w:proofErr w:type="spellStart"/>
          <w:r w:rsidRPr="000402AF">
            <w:rPr>
              <w:sz w:val="16"/>
              <w:szCs w:val="16"/>
            </w:rPr>
            <w:t>jud</w:t>
          </w:r>
          <w:proofErr w:type="spellEnd"/>
          <w:r w:rsidRPr="000402AF">
            <w:rPr>
              <w:sz w:val="16"/>
              <w:szCs w:val="16"/>
            </w:rPr>
            <w:t>. Mureș</w:t>
          </w:r>
          <w:r>
            <w:rPr>
              <w:sz w:val="16"/>
              <w:szCs w:val="16"/>
            </w:rPr>
            <w:t>, 540243</w:t>
          </w:r>
        </w:p>
        <w:p w14:paraId="57D98607" w14:textId="77777777" w:rsidR="001A15AF" w:rsidRPr="00C51A05" w:rsidRDefault="001A15AF" w:rsidP="001A15AF">
          <w:pPr>
            <w:pStyle w:val="Antet"/>
            <w:spacing w:after="0"/>
            <w:rPr>
              <w:sz w:val="16"/>
              <w:szCs w:val="16"/>
              <w:lang w:val="pt-BR"/>
            </w:rPr>
          </w:pPr>
          <w:r w:rsidRPr="00C51A05">
            <w:rPr>
              <w:sz w:val="16"/>
              <w:szCs w:val="16"/>
              <w:lang w:val="pt-BR"/>
            </w:rPr>
            <w:t>Tel. 0265435245; 0787603984</w:t>
          </w:r>
        </w:p>
        <w:p w14:paraId="4EF7AD1C" w14:textId="77777777" w:rsidR="001A15AF" w:rsidRPr="000402AF" w:rsidRDefault="001A15AF" w:rsidP="001A15AF">
          <w:pPr>
            <w:pStyle w:val="Antet"/>
            <w:spacing w:after="0"/>
            <w:rPr>
              <w:sz w:val="16"/>
              <w:szCs w:val="16"/>
              <w:lang w:val="pt-BR"/>
            </w:rPr>
          </w:pPr>
          <w:r w:rsidRPr="000402AF">
            <w:rPr>
              <w:sz w:val="16"/>
              <w:szCs w:val="16"/>
              <w:lang w:val="pt-BR"/>
            </w:rPr>
            <w:t xml:space="preserve">E-mail: </w:t>
          </w:r>
          <w:hyperlink r:id="rId2" w:history="1">
            <w:r w:rsidRPr="000402AF">
              <w:rPr>
                <w:rStyle w:val="Hyperlink"/>
                <w:i/>
                <w:sz w:val="16"/>
                <w:szCs w:val="16"/>
                <w:lang w:val="pt-BR"/>
              </w:rPr>
              <w:t>ofmures@anfof.ro</w:t>
            </w:r>
          </w:hyperlink>
        </w:p>
      </w:tc>
    </w:tr>
  </w:tbl>
  <w:p w14:paraId="64A6E7BC" w14:textId="77777777" w:rsidR="001A15AF" w:rsidRPr="001A15AF" w:rsidRDefault="001A15AF" w:rsidP="001A15AF">
    <w:pPr>
      <w:pStyle w:val="Antet"/>
      <w:spacing w:after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52E94"/>
    <w:multiLevelType w:val="multilevel"/>
    <w:tmpl w:val="5522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423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679"/>
    <w:rsid w:val="00006538"/>
    <w:rsid w:val="00024888"/>
    <w:rsid w:val="00035639"/>
    <w:rsid w:val="00041781"/>
    <w:rsid w:val="000555F7"/>
    <w:rsid w:val="0006482D"/>
    <w:rsid w:val="000B2672"/>
    <w:rsid w:val="000E05F5"/>
    <w:rsid w:val="00104A55"/>
    <w:rsid w:val="00111B69"/>
    <w:rsid w:val="0014595F"/>
    <w:rsid w:val="0015785F"/>
    <w:rsid w:val="001967CB"/>
    <w:rsid w:val="001A15AF"/>
    <w:rsid w:val="001A6A6E"/>
    <w:rsid w:val="001A7F5A"/>
    <w:rsid w:val="0020399A"/>
    <w:rsid w:val="00216F7D"/>
    <w:rsid w:val="002177C5"/>
    <w:rsid w:val="00233B3C"/>
    <w:rsid w:val="00270502"/>
    <w:rsid w:val="0027687C"/>
    <w:rsid w:val="002F2E43"/>
    <w:rsid w:val="002F6323"/>
    <w:rsid w:val="00302720"/>
    <w:rsid w:val="003038A1"/>
    <w:rsid w:val="0032492D"/>
    <w:rsid w:val="00333893"/>
    <w:rsid w:val="00352112"/>
    <w:rsid w:val="003650C6"/>
    <w:rsid w:val="00380ED3"/>
    <w:rsid w:val="00393E54"/>
    <w:rsid w:val="003A330C"/>
    <w:rsid w:val="003E0960"/>
    <w:rsid w:val="003E6B03"/>
    <w:rsid w:val="00433DF6"/>
    <w:rsid w:val="00435D19"/>
    <w:rsid w:val="00457613"/>
    <w:rsid w:val="004820E1"/>
    <w:rsid w:val="004A18AC"/>
    <w:rsid w:val="005039F5"/>
    <w:rsid w:val="005058BF"/>
    <w:rsid w:val="005078C8"/>
    <w:rsid w:val="00521EC3"/>
    <w:rsid w:val="00524E43"/>
    <w:rsid w:val="005326A4"/>
    <w:rsid w:val="005706E9"/>
    <w:rsid w:val="00572582"/>
    <w:rsid w:val="00580E8E"/>
    <w:rsid w:val="00591A13"/>
    <w:rsid w:val="00592810"/>
    <w:rsid w:val="005954B5"/>
    <w:rsid w:val="005956AE"/>
    <w:rsid w:val="005A3145"/>
    <w:rsid w:val="005D4BE2"/>
    <w:rsid w:val="005D6A74"/>
    <w:rsid w:val="005E6763"/>
    <w:rsid w:val="005F008D"/>
    <w:rsid w:val="00610D98"/>
    <w:rsid w:val="00621B89"/>
    <w:rsid w:val="00656AA4"/>
    <w:rsid w:val="00683316"/>
    <w:rsid w:val="006C6616"/>
    <w:rsid w:val="006D6EBB"/>
    <w:rsid w:val="0072409D"/>
    <w:rsid w:val="00742FEC"/>
    <w:rsid w:val="0074641E"/>
    <w:rsid w:val="00765535"/>
    <w:rsid w:val="0076645A"/>
    <w:rsid w:val="00796525"/>
    <w:rsid w:val="007A0CFD"/>
    <w:rsid w:val="007A7F0F"/>
    <w:rsid w:val="007D27E7"/>
    <w:rsid w:val="0082301D"/>
    <w:rsid w:val="008C2936"/>
    <w:rsid w:val="008C5B4A"/>
    <w:rsid w:val="008E4DD2"/>
    <w:rsid w:val="00900AAB"/>
    <w:rsid w:val="00916CFF"/>
    <w:rsid w:val="0093657F"/>
    <w:rsid w:val="009412A4"/>
    <w:rsid w:val="0095716F"/>
    <w:rsid w:val="009837C3"/>
    <w:rsid w:val="009B135B"/>
    <w:rsid w:val="009C5B2D"/>
    <w:rsid w:val="009C5F00"/>
    <w:rsid w:val="009D7D89"/>
    <w:rsid w:val="009F0383"/>
    <w:rsid w:val="009F3CC2"/>
    <w:rsid w:val="00A15826"/>
    <w:rsid w:val="00A24288"/>
    <w:rsid w:val="00A24FEF"/>
    <w:rsid w:val="00A267A7"/>
    <w:rsid w:val="00A267C8"/>
    <w:rsid w:val="00A400E2"/>
    <w:rsid w:val="00A4562C"/>
    <w:rsid w:val="00A46A25"/>
    <w:rsid w:val="00A5664A"/>
    <w:rsid w:val="00A72A3D"/>
    <w:rsid w:val="00A77C6B"/>
    <w:rsid w:val="00A83126"/>
    <w:rsid w:val="00A95E3D"/>
    <w:rsid w:val="00A96607"/>
    <w:rsid w:val="00AE4C64"/>
    <w:rsid w:val="00B33D13"/>
    <w:rsid w:val="00B46679"/>
    <w:rsid w:val="00B729BA"/>
    <w:rsid w:val="00B82D93"/>
    <w:rsid w:val="00B95733"/>
    <w:rsid w:val="00BA388E"/>
    <w:rsid w:val="00BD3384"/>
    <w:rsid w:val="00BF36A4"/>
    <w:rsid w:val="00C22734"/>
    <w:rsid w:val="00C540C7"/>
    <w:rsid w:val="00C63039"/>
    <w:rsid w:val="00C757D8"/>
    <w:rsid w:val="00C95C48"/>
    <w:rsid w:val="00C977F2"/>
    <w:rsid w:val="00CB442C"/>
    <w:rsid w:val="00CD6E35"/>
    <w:rsid w:val="00CE7073"/>
    <w:rsid w:val="00CE75C0"/>
    <w:rsid w:val="00D01553"/>
    <w:rsid w:val="00D13C86"/>
    <w:rsid w:val="00D376AC"/>
    <w:rsid w:val="00D40665"/>
    <w:rsid w:val="00D82890"/>
    <w:rsid w:val="00D862A7"/>
    <w:rsid w:val="00D90603"/>
    <w:rsid w:val="00DA035C"/>
    <w:rsid w:val="00DA2266"/>
    <w:rsid w:val="00DC42EC"/>
    <w:rsid w:val="00DC4369"/>
    <w:rsid w:val="00DF57A5"/>
    <w:rsid w:val="00E01079"/>
    <w:rsid w:val="00E15613"/>
    <w:rsid w:val="00E159A5"/>
    <w:rsid w:val="00E40080"/>
    <w:rsid w:val="00E810BE"/>
    <w:rsid w:val="00E822A6"/>
    <w:rsid w:val="00E84CFD"/>
    <w:rsid w:val="00EB2D84"/>
    <w:rsid w:val="00EB6F7A"/>
    <w:rsid w:val="00EC0C99"/>
    <w:rsid w:val="00EC4B7E"/>
    <w:rsid w:val="00ED6AC8"/>
    <w:rsid w:val="00EF7E11"/>
    <w:rsid w:val="00F00CB1"/>
    <w:rsid w:val="00F04289"/>
    <w:rsid w:val="00F50E66"/>
    <w:rsid w:val="00F70D50"/>
    <w:rsid w:val="00F826C7"/>
    <w:rsid w:val="00F85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04F8B"/>
  <w15:docId w15:val="{43D8E215-490C-4F7B-BAD7-FC3DAD1D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679"/>
    <w:pPr>
      <w:spacing w:after="160" w:line="259" w:lineRule="auto"/>
    </w:pPr>
    <w:rPr>
      <w:lang w:val="en-US"/>
    </w:rPr>
  </w:style>
  <w:style w:type="paragraph" w:styleId="Titlu2">
    <w:name w:val="heading 2"/>
    <w:basedOn w:val="Normal"/>
    <w:link w:val="Titlu2Caracter"/>
    <w:uiPriority w:val="9"/>
    <w:qFormat/>
    <w:rsid w:val="005928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46679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46679"/>
  </w:style>
  <w:style w:type="paragraph" w:styleId="Subsol">
    <w:name w:val="footer"/>
    <w:basedOn w:val="Normal"/>
    <w:link w:val="SubsolCaracter"/>
    <w:uiPriority w:val="99"/>
    <w:unhideWhenUsed/>
    <w:rsid w:val="00B46679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46679"/>
  </w:style>
  <w:style w:type="character" w:styleId="Hyperlink">
    <w:name w:val="Hyperlink"/>
    <w:basedOn w:val="Fontdeparagrafimplicit"/>
    <w:uiPriority w:val="99"/>
    <w:unhideWhenUsed/>
    <w:rsid w:val="00B46679"/>
    <w:rPr>
      <w:color w:val="0000FF" w:themeColor="hyperlink"/>
      <w:u w:val="single"/>
    </w:rPr>
  </w:style>
  <w:style w:type="table" w:styleId="Tabelgril">
    <w:name w:val="Table Grid"/>
    <w:basedOn w:val="TabelNormal"/>
    <w:uiPriority w:val="39"/>
    <w:rsid w:val="00B466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4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CD6E35"/>
    <w:rPr>
      <w:b/>
      <w:bCs/>
    </w:rPr>
  </w:style>
  <w:style w:type="paragraph" w:styleId="Frspaiere">
    <w:name w:val="No Spacing"/>
    <w:uiPriority w:val="1"/>
    <w:qFormat/>
    <w:rsid w:val="006D6EBB"/>
    <w:pPr>
      <w:spacing w:line="240" w:lineRule="auto"/>
    </w:pPr>
    <w:rPr>
      <w:rFonts w:eastAsiaTheme="minorEastAsia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3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35639"/>
    <w:rPr>
      <w:rFonts w:ascii="Tahoma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DC4369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rsid w:val="00592810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Corptext">
    <w:name w:val="Body Text"/>
    <w:basedOn w:val="Normal"/>
    <w:link w:val="CorptextCaracter"/>
    <w:rsid w:val="00957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CorptextCaracter">
    <w:name w:val="Corp text Caracter"/>
    <w:basedOn w:val="Fontdeparagrafimplicit"/>
    <w:link w:val="Corptext"/>
    <w:rsid w:val="0095716F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MeniuneNerezolvat">
    <w:name w:val="Unresolved Mention"/>
    <w:basedOn w:val="Fontdeparagrafimplicit"/>
    <w:uiPriority w:val="99"/>
    <w:semiHidden/>
    <w:unhideWhenUsed/>
    <w:rsid w:val="00276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5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anfof.ro/index/pestexpert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aloe.anfdf.r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ropscience.bayer.ro/Products/Insecticide/Calypso-480-S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anfdf.ro/sanatate/ghid/ghiduri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mures@anfof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1235</Words>
  <Characters>7169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autoritatea fitosanitara</cp:lastModifiedBy>
  <cp:revision>8</cp:revision>
  <cp:lastPrinted>2024-03-26T10:55:00Z</cp:lastPrinted>
  <dcterms:created xsi:type="dcterms:W3CDTF">2026-04-22T05:44:00Z</dcterms:created>
  <dcterms:modified xsi:type="dcterms:W3CDTF">2026-05-14T10:36:00Z</dcterms:modified>
</cp:coreProperties>
</file>