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7129"/>
      </w:tblGrid>
      <w:tr w:rsidR="00941908" w:rsidRPr="000402AF" w14:paraId="1C440D87" w14:textId="77777777" w:rsidTr="00EE5A2A">
        <w:trPr>
          <w:trHeight w:val="84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A8E9" w14:textId="77777777" w:rsidR="00941908" w:rsidRPr="00941908" w:rsidRDefault="00941908" w:rsidP="00D30A5D">
            <w:pPr>
              <w:pStyle w:val="Antet"/>
              <w:jc w:val="both"/>
              <w:rPr>
                <w:sz w:val="8"/>
                <w:szCs w:val="8"/>
              </w:rPr>
            </w:pPr>
          </w:p>
          <w:p w14:paraId="6784DC37" w14:textId="77777777" w:rsidR="00941908" w:rsidRPr="000402AF" w:rsidRDefault="00941908" w:rsidP="00D30A5D">
            <w:pPr>
              <w:pStyle w:val="Antet"/>
              <w:jc w:val="both"/>
              <w:rPr>
                <w:sz w:val="16"/>
                <w:szCs w:val="16"/>
              </w:rPr>
            </w:pPr>
            <w:r w:rsidRPr="000402AF">
              <w:rPr>
                <w:noProof/>
                <w:sz w:val="16"/>
                <w:szCs w:val="16"/>
                <w:lang w:val="ro-RO" w:eastAsia="ro-RO"/>
              </w:rPr>
              <w:drawing>
                <wp:anchor distT="0" distB="0" distL="0" distR="0" simplePos="0" relativeHeight="251659264" behindDoc="1" locked="0" layoutInCell="1" allowOverlap="1" wp14:anchorId="20142B2C" wp14:editId="40C90BA7">
                  <wp:simplePos x="0" y="0"/>
                  <wp:positionH relativeFrom="page">
                    <wp:posOffset>59690</wp:posOffset>
                  </wp:positionH>
                  <wp:positionV relativeFrom="paragraph">
                    <wp:posOffset>3810</wp:posOffset>
                  </wp:positionV>
                  <wp:extent cx="1457325" cy="295275"/>
                  <wp:effectExtent l="0" t="0" r="9525" b="9525"/>
                  <wp:wrapNone/>
                  <wp:docPr id="1213533738" name="Imagine 3" descr="A green and black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A green and black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127A2" w14:textId="77777777" w:rsidR="00941908" w:rsidRPr="000402AF" w:rsidRDefault="00941908" w:rsidP="00D30A5D">
            <w:pPr>
              <w:pStyle w:val="Antet"/>
              <w:spacing w:after="0"/>
              <w:jc w:val="both"/>
              <w:rPr>
                <w:b/>
                <w:sz w:val="16"/>
                <w:szCs w:val="16"/>
                <w:lang w:val="pt-BR"/>
              </w:rPr>
            </w:pPr>
            <w:r w:rsidRPr="000402AF">
              <w:rPr>
                <w:b/>
                <w:sz w:val="16"/>
                <w:szCs w:val="16"/>
                <w:lang w:val="pt-BR"/>
              </w:rPr>
              <w:t>OFICIUL FITOSANITAR MUREȘ</w:t>
            </w:r>
          </w:p>
          <w:p w14:paraId="1A5A6325" w14:textId="77777777" w:rsidR="00941908" w:rsidRPr="000402AF" w:rsidRDefault="00941908" w:rsidP="00D30A5D">
            <w:pPr>
              <w:pStyle w:val="Antet"/>
              <w:spacing w:after="0"/>
              <w:jc w:val="both"/>
              <w:rPr>
                <w:sz w:val="16"/>
                <w:szCs w:val="16"/>
              </w:rPr>
            </w:pPr>
            <w:r w:rsidRPr="000402AF">
              <w:rPr>
                <w:sz w:val="16"/>
                <w:szCs w:val="16"/>
                <w:lang w:val="pt-BR"/>
              </w:rPr>
              <w:t xml:space="preserve">Str. Dezrobirii, nr. 80, Tg. </w:t>
            </w:r>
            <w:r w:rsidRPr="000402AF">
              <w:rPr>
                <w:sz w:val="16"/>
                <w:szCs w:val="16"/>
              </w:rPr>
              <w:t xml:space="preserve">Mureș, </w:t>
            </w:r>
            <w:proofErr w:type="spellStart"/>
            <w:r w:rsidRPr="000402AF">
              <w:rPr>
                <w:sz w:val="16"/>
                <w:szCs w:val="16"/>
              </w:rPr>
              <w:t>jud</w:t>
            </w:r>
            <w:proofErr w:type="spellEnd"/>
            <w:r w:rsidRPr="000402AF">
              <w:rPr>
                <w:sz w:val="16"/>
                <w:szCs w:val="16"/>
              </w:rPr>
              <w:t>. Mureș</w:t>
            </w:r>
            <w:r>
              <w:rPr>
                <w:sz w:val="16"/>
                <w:szCs w:val="16"/>
              </w:rPr>
              <w:t>, 540243</w:t>
            </w:r>
          </w:p>
          <w:p w14:paraId="189A4E7F" w14:textId="77777777" w:rsidR="00941908" w:rsidRPr="00C51A05" w:rsidRDefault="00941908" w:rsidP="00D30A5D">
            <w:pPr>
              <w:pStyle w:val="Antet"/>
              <w:spacing w:after="0"/>
              <w:jc w:val="both"/>
              <w:rPr>
                <w:sz w:val="16"/>
                <w:szCs w:val="16"/>
                <w:lang w:val="pt-BR"/>
              </w:rPr>
            </w:pPr>
            <w:r w:rsidRPr="00C51A05">
              <w:rPr>
                <w:sz w:val="16"/>
                <w:szCs w:val="16"/>
                <w:lang w:val="pt-BR"/>
              </w:rPr>
              <w:t>Tel. 0265435245; 0787603984</w:t>
            </w:r>
          </w:p>
          <w:p w14:paraId="72C21F9F" w14:textId="77777777" w:rsidR="00941908" w:rsidRPr="000402AF" w:rsidRDefault="00941908" w:rsidP="00D30A5D">
            <w:pPr>
              <w:pStyle w:val="Antet"/>
              <w:spacing w:after="0"/>
              <w:jc w:val="both"/>
              <w:rPr>
                <w:sz w:val="16"/>
                <w:szCs w:val="16"/>
                <w:lang w:val="pt-BR"/>
              </w:rPr>
            </w:pPr>
            <w:r w:rsidRPr="000402AF">
              <w:rPr>
                <w:sz w:val="16"/>
                <w:szCs w:val="16"/>
                <w:lang w:val="pt-BR"/>
              </w:rPr>
              <w:t xml:space="preserve">E-mail: </w:t>
            </w:r>
            <w:hyperlink r:id="rId6" w:history="1">
              <w:r w:rsidRPr="000402AF">
                <w:rPr>
                  <w:rStyle w:val="Hyperlink"/>
                  <w:i/>
                  <w:sz w:val="16"/>
                  <w:szCs w:val="16"/>
                  <w:lang w:val="pt-BR"/>
                </w:rPr>
                <w:t>ofmures@anfof.ro</w:t>
              </w:r>
            </w:hyperlink>
          </w:p>
        </w:tc>
      </w:tr>
    </w:tbl>
    <w:p w14:paraId="79C7A3C5" w14:textId="793899B6" w:rsidR="00F55D99" w:rsidRDefault="000402E6" w:rsidP="00D30A5D">
      <w:pPr>
        <w:pStyle w:val="Frspaiere"/>
        <w:jc w:val="both"/>
        <w:rPr>
          <w:rFonts w:ascii="Times New Roman" w:hAnsi="Times New Roman" w:cs="Times New Roman"/>
          <w:lang w:val="pt-BR"/>
        </w:rPr>
      </w:pPr>
      <w:r w:rsidRPr="00FD185E">
        <w:rPr>
          <w:rFonts w:ascii="Times New Roman" w:hAnsi="Times New Roman" w:cs="Times New Roman"/>
          <w:lang w:val="pt-BR"/>
        </w:rPr>
        <w:t>Nr.</w:t>
      </w:r>
      <w:r w:rsidR="00213B45">
        <w:rPr>
          <w:rFonts w:ascii="Times New Roman" w:hAnsi="Times New Roman" w:cs="Times New Roman"/>
          <w:lang w:val="pt-BR"/>
        </w:rPr>
        <w:t xml:space="preserve"> 52 </w:t>
      </w:r>
      <w:r w:rsidR="00104C81">
        <w:rPr>
          <w:rFonts w:ascii="Times New Roman" w:hAnsi="Times New Roman" w:cs="Times New Roman"/>
          <w:lang w:val="pt-BR"/>
        </w:rPr>
        <w:t>/</w:t>
      </w:r>
      <w:r w:rsidR="00213B45">
        <w:rPr>
          <w:rFonts w:ascii="Times New Roman" w:hAnsi="Times New Roman" w:cs="Times New Roman"/>
          <w:lang w:val="pt-BR"/>
        </w:rPr>
        <w:t xml:space="preserve"> 10.02.2026</w:t>
      </w:r>
    </w:p>
    <w:p w14:paraId="3C670DCA" w14:textId="77777777" w:rsidR="00D30A5D" w:rsidRPr="000402E6" w:rsidRDefault="00D30A5D" w:rsidP="00D30A5D">
      <w:pPr>
        <w:pStyle w:val="Frspaiere"/>
        <w:jc w:val="both"/>
        <w:rPr>
          <w:rFonts w:ascii="Times New Roman" w:hAnsi="Times New Roman" w:cs="Times New Roman"/>
          <w:lang w:val="ro-RO"/>
        </w:rPr>
      </w:pPr>
    </w:p>
    <w:p w14:paraId="7AE2B174" w14:textId="77777777" w:rsidR="000402E6" w:rsidRPr="00FD185E" w:rsidRDefault="000402E6" w:rsidP="00D30A5D">
      <w:pPr>
        <w:pStyle w:val="Frspaiere"/>
        <w:jc w:val="both"/>
        <w:rPr>
          <w:rFonts w:ascii="Times New Roman" w:hAnsi="Times New Roman" w:cs="Times New Roman"/>
          <w:b/>
          <w:u w:val="single"/>
          <w:lang w:val="pt-BR"/>
        </w:rPr>
      </w:pPr>
    </w:p>
    <w:p w14:paraId="1016CBE8" w14:textId="6E07418D" w:rsidR="00104C81" w:rsidRDefault="00490087" w:rsidP="00146BC6">
      <w:pPr>
        <w:pStyle w:val="Frspaiere"/>
        <w:jc w:val="center"/>
        <w:rPr>
          <w:rFonts w:ascii="Times New Roman" w:hAnsi="Times New Roman" w:cs="Times New Roman"/>
          <w:b/>
          <w:lang w:val="pt-BR"/>
        </w:rPr>
      </w:pPr>
      <w:r w:rsidRPr="00104C81">
        <w:rPr>
          <w:rFonts w:ascii="Times New Roman" w:hAnsi="Times New Roman" w:cs="Times New Roman"/>
          <w:b/>
          <w:lang w:val="pt-BR"/>
        </w:rPr>
        <w:t>BULETIN DE AVERTIZARE</w:t>
      </w:r>
    </w:p>
    <w:p w14:paraId="0CAE06AB" w14:textId="276A9EBB" w:rsidR="00104C81" w:rsidRPr="00104C81" w:rsidRDefault="00104C81" w:rsidP="00146BC6">
      <w:pPr>
        <w:pStyle w:val="Frspaiere"/>
        <w:jc w:val="center"/>
        <w:rPr>
          <w:rFonts w:ascii="Times New Roman" w:hAnsi="Times New Roman" w:cs="Times New Roman"/>
          <w:b/>
          <w:lang w:val="pt-BR"/>
        </w:rPr>
      </w:pPr>
    </w:p>
    <w:p w14:paraId="5BAABF22" w14:textId="41AEC258" w:rsidR="00204DDB" w:rsidRDefault="005B10CB" w:rsidP="00146BC6">
      <w:pPr>
        <w:pStyle w:val="Frspaiere"/>
        <w:jc w:val="center"/>
        <w:rPr>
          <w:rFonts w:ascii="Times New Roman" w:hAnsi="Times New Roman" w:cs="Times New Roman"/>
          <w:b/>
          <w:lang w:val="pt-BR"/>
        </w:rPr>
      </w:pPr>
      <w:r w:rsidRPr="00104C81">
        <w:rPr>
          <w:rFonts w:ascii="Times New Roman" w:hAnsi="Times New Roman" w:cs="Times New Roman"/>
          <w:b/>
          <w:lang w:val="pt-BR"/>
        </w:rPr>
        <w:t>N</w:t>
      </w:r>
      <w:r w:rsidR="000F0358" w:rsidRPr="00104C81">
        <w:rPr>
          <w:rFonts w:ascii="Times New Roman" w:hAnsi="Times New Roman" w:cs="Times New Roman"/>
          <w:b/>
          <w:lang w:val="pt-BR"/>
        </w:rPr>
        <w:t>r</w:t>
      </w:r>
      <w:r w:rsidRPr="00104C81">
        <w:rPr>
          <w:rFonts w:ascii="Times New Roman" w:hAnsi="Times New Roman" w:cs="Times New Roman"/>
          <w:b/>
          <w:lang w:val="pt-BR"/>
        </w:rPr>
        <w:t>.</w:t>
      </w:r>
      <w:r w:rsidR="00C24112" w:rsidRPr="00104C81">
        <w:rPr>
          <w:rFonts w:ascii="Times New Roman" w:hAnsi="Times New Roman" w:cs="Times New Roman"/>
          <w:b/>
          <w:lang w:val="pt-BR"/>
        </w:rPr>
        <w:t>3</w:t>
      </w:r>
      <w:r w:rsidR="00292960" w:rsidRPr="00104C81">
        <w:rPr>
          <w:rFonts w:ascii="Times New Roman" w:hAnsi="Times New Roman" w:cs="Times New Roman"/>
          <w:b/>
          <w:lang w:val="pt-BR"/>
        </w:rPr>
        <w:t xml:space="preserve">/ </w:t>
      </w:r>
      <w:r w:rsidR="00314AC4" w:rsidRPr="00104C81">
        <w:rPr>
          <w:rFonts w:ascii="Times New Roman" w:hAnsi="Times New Roman" w:cs="Times New Roman"/>
          <w:b/>
          <w:lang w:val="pt-BR"/>
        </w:rPr>
        <w:t>1</w:t>
      </w:r>
      <w:r w:rsidR="00C24112" w:rsidRPr="00104C81">
        <w:rPr>
          <w:rFonts w:ascii="Times New Roman" w:hAnsi="Times New Roman" w:cs="Times New Roman"/>
          <w:b/>
          <w:lang w:val="pt-BR"/>
        </w:rPr>
        <w:t>0</w:t>
      </w:r>
      <w:r w:rsidR="009F05A0" w:rsidRPr="00104C81">
        <w:rPr>
          <w:rFonts w:ascii="Times New Roman" w:hAnsi="Times New Roman" w:cs="Times New Roman"/>
          <w:b/>
          <w:lang w:val="pt-BR"/>
        </w:rPr>
        <w:t>.0</w:t>
      </w:r>
      <w:r w:rsidRPr="00104C81">
        <w:rPr>
          <w:rFonts w:ascii="Times New Roman" w:hAnsi="Times New Roman" w:cs="Times New Roman"/>
          <w:b/>
          <w:lang w:val="pt-BR"/>
        </w:rPr>
        <w:t>2</w:t>
      </w:r>
      <w:r w:rsidR="009F05A0" w:rsidRPr="00104C81">
        <w:rPr>
          <w:rFonts w:ascii="Times New Roman" w:hAnsi="Times New Roman" w:cs="Times New Roman"/>
          <w:b/>
          <w:lang w:val="pt-BR"/>
        </w:rPr>
        <w:t>.202</w:t>
      </w:r>
      <w:r w:rsidR="00C24112" w:rsidRPr="00104C81">
        <w:rPr>
          <w:rFonts w:ascii="Times New Roman" w:hAnsi="Times New Roman" w:cs="Times New Roman"/>
          <w:b/>
          <w:lang w:val="pt-BR"/>
        </w:rPr>
        <w:t>6</w:t>
      </w:r>
    </w:p>
    <w:p w14:paraId="14E473FE" w14:textId="77777777" w:rsidR="00D30A5D" w:rsidRPr="00D30A5D" w:rsidRDefault="00D30A5D" w:rsidP="00D30A5D">
      <w:pPr>
        <w:pStyle w:val="Frspaiere"/>
        <w:jc w:val="both"/>
        <w:rPr>
          <w:rFonts w:ascii="Times New Roman" w:hAnsi="Times New Roman" w:cs="Times New Roman"/>
          <w:b/>
          <w:lang w:val="pt-BR"/>
        </w:rPr>
      </w:pPr>
    </w:p>
    <w:p w14:paraId="407364B3" w14:textId="71C2630D" w:rsidR="00490087" w:rsidRPr="00D30A5D" w:rsidRDefault="00490087" w:rsidP="00D30A5D">
      <w:pPr>
        <w:pStyle w:val="Frspaiere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D30A5D">
        <w:rPr>
          <w:rFonts w:ascii="Times New Roman" w:hAnsi="Times New Roman" w:cs="Times New Roman"/>
          <w:b/>
          <w:sz w:val="24"/>
          <w:szCs w:val="24"/>
          <w:lang w:val="pt-BR"/>
        </w:rPr>
        <w:t xml:space="preserve">Pentru  prevenirea  și combaterea </w:t>
      </w:r>
      <w:r w:rsidRPr="00D30A5D">
        <w:rPr>
          <w:rFonts w:ascii="Times New Roman" w:hAnsi="Times New Roman" w:cs="Times New Roman"/>
          <w:b/>
          <w:sz w:val="24"/>
          <w:szCs w:val="24"/>
          <w:lang w:val="ro-RO"/>
        </w:rPr>
        <w:t>Focului bacterian al rozaceelor (</w:t>
      </w:r>
      <w:r w:rsidRPr="00D30A5D">
        <w:rPr>
          <w:rFonts w:ascii="Times New Roman" w:hAnsi="Times New Roman" w:cs="Times New Roman"/>
          <w:bCs/>
          <w:i/>
          <w:color w:val="000000"/>
          <w:sz w:val="24"/>
          <w:szCs w:val="24"/>
          <w:lang w:val="ro-RO"/>
        </w:rPr>
        <w:t>Erwinia</w:t>
      </w:r>
      <w:r w:rsidR="00104C81" w:rsidRPr="00D30A5D">
        <w:rPr>
          <w:rFonts w:ascii="Times New Roman" w:hAnsi="Times New Roman" w:cs="Times New Roman"/>
          <w:bCs/>
          <w:i/>
          <w:color w:val="000000"/>
          <w:sz w:val="24"/>
          <w:szCs w:val="24"/>
          <w:lang w:val="ro-RO"/>
        </w:rPr>
        <w:t xml:space="preserve"> </w:t>
      </w:r>
      <w:r w:rsidRPr="00D30A5D">
        <w:rPr>
          <w:rFonts w:ascii="Times New Roman" w:hAnsi="Times New Roman" w:cs="Times New Roman"/>
          <w:bCs/>
          <w:i/>
          <w:color w:val="000000"/>
          <w:sz w:val="24"/>
          <w:szCs w:val="24"/>
          <w:lang w:val="ro-RO"/>
        </w:rPr>
        <w:t>amylovora</w:t>
      </w:r>
      <w:r w:rsidRPr="00D30A5D">
        <w:rPr>
          <w:rFonts w:ascii="Times New Roman" w:hAnsi="Times New Roman" w:cs="Times New Roman"/>
          <w:bCs/>
          <w:sz w:val="24"/>
          <w:szCs w:val="24"/>
          <w:lang w:val="ro-RO"/>
        </w:rPr>
        <w:t>)</w:t>
      </w:r>
      <w:r w:rsidRPr="00D30A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la speciile</w:t>
      </w:r>
      <w:r w:rsidR="00104C81" w:rsidRPr="00D30A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D30A5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semințoase.</w:t>
      </w:r>
    </w:p>
    <w:p w14:paraId="25EB0FB4" w14:textId="77777777" w:rsidR="00EF6A36" w:rsidRPr="00D30A5D" w:rsidRDefault="00EF6A36" w:rsidP="00D30A5D">
      <w:pPr>
        <w:pStyle w:val="Frspaiere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  <w:sectPr w:rsidR="00EF6A36" w:rsidRPr="00D30A5D" w:rsidSect="00D30A5D">
          <w:pgSz w:w="12240" w:h="15840"/>
          <w:pgMar w:top="432" w:right="432" w:bottom="432" w:left="1296" w:header="720" w:footer="720" w:gutter="0"/>
          <w:cols w:space="720"/>
          <w:docGrid w:linePitch="360"/>
        </w:sectPr>
      </w:pPr>
    </w:p>
    <w:p w14:paraId="45C63CB7" w14:textId="78E0D383" w:rsidR="009B7C17" w:rsidRPr="00D30A5D" w:rsidRDefault="00204DDB" w:rsidP="00D30A5D">
      <w:pPr>
        <w:pStyle w:val="Frspaiere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30A5D">
        <w:rPr>
          <w:rFonts w:ascii="Times New Roman" w:hAnsi="Times New Roman" w:cs="Times New Roman"/>
          <w:b/>
          <w:sz w:val="24"/>
          <w:szCs w:val="24"/>
          <w:lang w:val="pt-BR"/>
        </w:rPr>
        <w:t>Focul bacterian al rozaceelor</w:t>
      </w:r>
      <w:r w:rsidR="00104C81" w:rsidRPr="00D30A5D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104C81" w:rsidRPr="00D30A5D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697B74" w:rsidRPr="00D30A5D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Erwinia</w:t>
      </w:r>
      <w:r w:rsidR="00104C81" w:rsidRPr="00D30A5D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 xml:space="preserve"> </w:t>
      </w:r>
      <w:r w:rsidR="00697B74" w:rsidRPr="00D30A5D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amylovora</w:t>
      </w:r>
      <w:r w:rsidR="00104C81" w:rsidRPr="00D30A5D">
        <w:rPr>
          <w:rFonts w:ascii="Times New Roman" w:hAnsi="Times New Roman" w:cs="Times New Roman"/>
          <w:sz w:val="24"/>
          <w:szCs w:val="24"/>
          <w:lang w:val="pt-BR"/>
        </w:rPr>
        <w:t xml:space="preserve">) </w:t>
      </w:r>
      <w:r w:rsidRPr="00D30A5D">
        <w:rPr>
          <w:rFonts w:ascii="Times New Roman" w:hAnsi="Times New Roman" w:cs="Times New Roman"/>
          <w:sz w:val="24"/>
          <w:szCs w:val="24"/>
          <w:lang w:val="pt-BR"/>
        </w:rPr>
        <w:t>este o boală</w:t>
      </w:r>
      <w:r w:rsidR="00697B74" w:rsidRPr="00D30A5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30A5D">
        <w:rPr>
          <w:rFonts w:ascii="Times New Roman" w:hAnsi="Times New Roman" w:cs="Times New Roman"/>
          <w:sz w:val="24"/>
          <w:szCs w:val="24"/>
          <w:lang w:val="pt-BR"/>
        </w:rPr>
        <w:t>cu evoluţii neprevăzute, fiind cea mai păgubitoare la măr, păr şi gutui.</w:t>
      </w:r>
      <w:r w:rsidR="00104C81" w:rsidRPr="00D30A5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97B74" w:rsidRPr="00D30A5D">
        <w:rPr>
          <w:rFonts w:ascii="Times New Roman" w:hAnsi="Times New Roman" w:cs="Times New Roman"/>
          <w:sz w:val="24"/>
          <w:szCs w:val="24"/>
          <w:lang w:val="pt-BR"/>
        </w:rPr>
        <w:t>Condiţiile favorabile de activare a ag</w:t>
      </w:r>
      <w:r w:rsidR="00B0742D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697B74" w:rsidRPr="00D30A5D">
        <w:rPr>
          <w:rFonts w:ascii="Times New Roman" w:hAnsi="Times New Roman" w:cs="Times New Roman"/>
          <w:sz w:val="24"/>
          <w:szCs w:val="24"/>
          <w:lang w:val="pt-BR"/>
        </w:rPr>
        <w:t xml:space="preserve">ntului patogen sunt temperaturile cuprinse între 10 – 30 </w:t>
      </w:r>
      <w:r w:rsidR="00697B74" w:rsidRPr="00D30A5D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o</w:t>
      </w:r>
      <w:r w:rsidR="00697B74" w:rsidRPr="00D30A5D">
        <w:rPr>
          <w:rFonts w:ascii="Times New Roman" w:hAnsi="Times New Roman" w:cs="Times New Roman"/>
          <w:sz w:val="24"/>
          <w:szCs w:val="24"/>
          <w:lang w:val="pt-BR"/>
        </w:rPr>
        <w:t xml:space="preserve">C şi valori de </w:t>
      </w:r>
      <w:r w:rsidR="0098481C" w:rsidRPr="00D30A5D">
        <w:rPr>
          <w:rFonts w:ascii="Times New Roman" w:hAnsi="Times New Roman" w:cs="Times New Roman"/>
          <w:sz w:val="24"/>
          <w:szCs w:val="24"/>
          <w:lang w:val="pt-BR"/>
        </w:rPr>
        <w:t xml:space="preserve">umiditate ridicată. </w:t>
      </w:r>
      <w:r w:rsidR="00116EBF" w:rsidRPr="00D30A5D">
        <w:rPr>
          <w:rFonts w:ascii="Times New Roman" w:hAnsi="Times New Roman" w:cs="Times New Roman"/>
          <w:sz w:val="24"/>
          <w:szCs w:val="24"/>
          <w:lang w:val="pt-BR"/>
        </w:rPr>
        <w:t xml:space="preserve">De asemenea, curenţii de aer sunt un factor favorizant de răspândire al acestei boli. </w:t>
      </w:r>
      <w:r w:rsidRPr="00D30A5D">
        <w:rPr>
          <w:rFonts w:ascii="Times New Roman" w:hAnsi="Times New Roman" w:cs="Times New Roman"/>
          <w:sz w:val="24"/>
          <w:szCs w:val="24"/>
          <w:lang w:val="pt-BR"/>
        </w:rPr>
        <w:t xml:space="preserve"> Viteza mare cu care se propagă bacteria şi agresivitatea deosebită a acesteia, precum şi </w:t>
      </w:r>
      <w:r w:rsidR="00104C81" w:rsidRPr="00D30A5D">
        <w:rPr>
          <w:rFonts w:ascii="Times New Roman" w:hAnsi="Times New Roman" w:cs="Times New Roman"/>
          <w:sz w:val="24"/>
          <w:szCs w:val="24"/>
          <w:lang w:val="pt-BR"/>
        </w:rPr>
        <w:t>diversitatea</w:t>
      </w:r>
      <w:r w:rsidRPr="00D30A5D">
        <w:rPr>
          <w:rFonts w:ascii="Times New Roman" w:hAnsi="Times New Roman" w:cs="Times New Roman"/>
          <w:sz w:val="24"/>
          <w:szCs w:val="24"/>
          <w:lang w:val="pt-BR"/>
        </w:rPr>
        <w:t xml:space="preserve"> m</w:t>
      </w:r>
      <w:r w:rsidR="00116EBF" w:rsidRPr="00D30A5D">
        <w:rPr>
          <w:rFonts w:ascii="Times New Roman" w:hAnsi="Times New Roman" w:cs="Times New Roman"/>
          <w:sz w:val="24"/>
          <w:szCs w:val="24"/>
          <w:lang w:val="pt-BR"/>
        </w:rPr>
        <w:t>are de plante</w:t>
      </w:r>
      <w:r w:rsidR="00104C81" w:rsidRPr="00D30A5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16EBF" w:rsidRPr="00D30A5D">
        <w:rPr>
          <w:rFonts w:ascii="Times New Roman" w:hAnsi="Times New Roman" w:cs="Times New Roman"/>
          <w:sz w:val="24"/>
          <w:szCs w:val="24"/>
          <w:lang w:val="pt-BR"/>
        </w:rPr>
        <w:t>gazdă îngreunează</w:t>
      </w:r>
      <w:r w:rsidRPr="00D30A5D">
        <w:rPr>
          <w:rFonts w:ascii="Times New Roman" w:hAnsi="Times New Roman" w:cs="Times New Roman"/>
          <w:sz w:val="24"/>
          <w:szCs w:val="24"/>
          <w:lang w:val="pt-BR"/>
        </w:rPr>
        <w:t xml:space="preserve"> protecţia plantelor şi eradicarea bolii</w:t>
      </w:r>
      <w:r w:rsidR="00B54ADB" w:rsidRPr="00D30A5D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61140787" w14:textId="0A41AE2B" w:rsidR="008B6F1F" w:rsidRPr="00D30A5D" w:rsidRDefault="009B7C17" w:rsidP="00D30A5D">
      <w:pPr>
        <w:pStyle w:val="Frspaiere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30A5D">
        <w:rPr>
          <w:rFonts w:ascii="Times New Roman" w:hAnsi="Times New Roman" w:cs="Times New Roman"/>
          <w:color w:val="000000"/>
          <w:sz w:val="24"/>
          <w:szCs w:val="24"/>
          <w:lang w:val="ro-RO"/>
        </w:rPr>
        <w:t>Oficiul Fitosanitar Mureș, vă recomandă</w:t>
      </w:r>
      <w:r w:rsidRPr="00D30A5D">
        <w:rPr>
          <w:rFonts w:ascii="Times New Roman" w:hAnsi="Times New Roman" w:cs="Times New Roman"/>
          <w:sz w:val="24"/>
          <w:szCs w:val="24"/>
          <w:lang w:val="pt-BR"/>
        </w:rPr>
        <w:t xml:space="preserve"> efectuarea de lucrări agrotehnice adecvate şi aplicarea măsurilor chimice  care se impun</w:t>
      </w:r>
      <w:r w:rsidRPr="00D30A5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pentru prevenirea şi combaterea </w:t>
      </w:r>
      <w:r w:rsidR="00116EBF" w:rsidRPr="00D30A5D">
        <w:rPr>
          <w:rFonts w:ascii="Times New Roman" w:hAnsi="Times New Roman" w:cs="Times New Roman"/>
          <w:b/>
          <w:sz w:val="24"/>
          <w:szCs w:val="24"/>
          <w:lang w:val="ro-RO"/>
        </w:rPr>
        <w:t>focului  bacterian al roz</w:t>
      </w:r>
      <w:r w:rsidRPr="00D30A5D">
        <w:rPr>
          <w:rFonts w:ascii="Times New Roman" w:hAnsi="Times New Roman" w:cs="Times New Roman"/>
          <w:b/>
          <w:sz w:val="24"/>
          <w:szCs w:val="24"/>
          <w:lang w:val="ro-RO"/>
        </w:rPr>
        <w:t>aceelor</w:t>
      </w:r>
      <w:r w:rsidR="00104C81" w:rsidRPr="00D30A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D30A5D">
        <w:rPr>
          <w:rFonts w:ascii="Times New Roman" w:hAnsi="Times New Roman" w:cs="Times New Roman"/>
          <w:color w:val="000000"/>
          <w:sz w:val="24"/>
          <w:szCs w:val="24"/>
          <w:lang w:val="ro-RO"/>
        </w:rPr>
        <w:t>(</w:t>
      </w:r>
      <w:r w:rsidRPr="00D30A5D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Erwinia</w:t>
      </w:r>
      <w:r w:rsidR="00104C81" w:rsidRPr="00D30A5D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 xml:space="preserve"> </w:t>
      </w:r>
      <w:r w:rsidRPr="00D30A5D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amylovora</w:t>
      </w:r>
      <w:r w:rsidRPr="00D30A5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) în </w:t>
      </w:r>
      <w:r w:rsidR="00116EBF" w:rsidRPr="00D30A5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perioada de </w:t>
      </w:r>
      <w:r w:rsidRPr="00D30A5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repaus vegetativ</w:t>
      </w:r>
      <w:r w:rsidRPr="00D30A5D">
        <w:rPr>
          <w:rFonts w:ascii="Times New Roman" w:hAnsi="Times New Roman" w:cs="Times New Roman"/>
          <w:sz w:val="24"/>
          <w:szCs w:val="24"/>
          <w:lang w:val="pt-BR"/>
        </w:rPr>
        <w:t xml:space="preserve"> la </w:t>
      </w:r>
      <w:r w:rsidR="00116EBF" w:rsidRPr="00D30A5D">
        <w:rPr>
          <w:rFonts w:ascii="Times New Roman" w:hAnsi="Times New Roman" w:cs="Times New Roman"/>
          <w:color w:val="000000"/>
          <w:sz w:val="24"/>
          <w:szCs w:val="24"/>
          <w:lang w:val="ro-RO"/>
        </w:rPr>
        <w:t>m</w:t>
      </w:r>
      <w:r w:rsidR="00104C81" w:rsidRPr="00D30A5D">
        <w:rPr>
          <w:rFonts w:ascii="Times New Roman" w:hAnsi="Times New Roman" w:cs="Times New Roman"/>
          <w:color w:val="000000"/>
          <w:sz w:val="24"/>
          <w:szCs w:val="24"/>
          <w:lang w:val="ro-RO"/>
        </w:rPr>
        <w:t>ă</w:t>
      </w:r>
      <w:r w:rsidR="00116EBF" w:rsidRPr="00D30A5D">
        <w:rPr>
          <w:rFonts w:ascii="Times New Roman" w:hAnsi="Times New Roman" w:cs="Times New Roman"/>
          <w:color w:val="000000"/>
          <w:sz w:val="24"/>
          <w:szCs w:val="24"/>
          <w:lang w:val="ro-RO"/>
        </w:rPr>
        <w:t>r, p</w:t>
      </w:r>
      <w:r w:rsidR="00104C81" w:rsidRPr="00D30A5D">
        <w:rPr>
          <w:rFonts w:ascii="Times New Roman" w:hAnsi="Times New Roman" w:cs="Times New Roman"/>
          <w:color w:val="000000"/>
          <w:sz w:val="24"/>
          <w:szCs w:val="24"/>
          <w:lang w:val="ro-RO"/>
        </w:rPr>
        <w:t>ă</w:t>
      </w:r>
      <w:r w:rsidR="00116EBF" w:rsidRPr="00D30A5D">
        <w:rPr>
          <w:rFonts w:ascii="Times New Roman" w:hAnsi="Times New Roman" w:cs="Times New Roman"/>
          <w:color w:val="000000"/>
          <w:sz w:val="24"/>
          <w:szCs w:val="24"/>
          <w:lang w:val="ro-RO"/>
        </w:rPr>
        <w:t>r şi</w:t>
      </w:r>
      <w:r w:rsidRPr="00D30A5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gutui</w:t>
      </w:r>
      <w:r w:rsidR="00116EBF" w:rsidRPr="00D30A5D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14:paraId="5871B815" w14:textId="084CA314" w:rsidR="009B7C17" w:rsidRPr="00D30A5D" w:rsidRDefault="00104C81" w:rsidP="00D30A5D">
      <w:pPr>
        <w:pStyle w:val="Frspaiere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30A5D">
        <w:rPr>
          <w:rFonts w:ascii="Times New Roman" w:hAnsi="Times New Roman" w:cs="Times New Roman"/>
          <w:b/>
          <w:sz w:val="24"/>
          <w:szCs w:val="24"/>
          <w:lang w:val="pt-BR"/>
        </w:rPr>
        <w:t>Simptome</w:t>
      </w:r>
      <w:r w:rsidR="008B6F1F" w:rsidRPr="00D30A5D">
        <w:rPr>
          <w:rFonts w:ascii="Times New Roman" w:hAnsi="Times New Roman" w:cs="Times New Roman"/>
          <w:b/>
          <w:sz w:val="24"/>
          <w:szCs w:val="24"/>
          <w:lang w:val="pt-BR"/>
        </w:rPr>
        <w:t xml:space="preserve">: </w:t>
      </w:r>
    </w:p>
    <w:p w14:paraId="1DAFE901" w14:textId="77777777" w:rsidR="00EF6A36" w:rsidRPr="00D30A5D" w:rsidRDefault="00EF6A36" w:rsidP="00D30A5D">
      <w:pPr>
        <w:pStyle w:val="Frspaiere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A5D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inline distT="0" distB="0" distL="0" distR="0" wp14:anchorId="7BD0E93F" wp14:editId="1890FF17">
            <wp:extent cx="1524000" cy="1890609"/>
            <wp:effectExtent l="0" t="0" r="0" b="0"/>
            <wp:docPr id="2" name="Imagine 1" descr="FISA FITOSANITARA Focul bacterian al rozaceelor Erwinia amylovora  Ministerul A g ric u lturii, P a durilo r Si Dezvoltarii R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SA FITOSANITARA Focul bacterian al rozaceelor Erwinia amylovora  Ministerul A g ric u lturii, P a durilo r Si Dezvoltarii Ru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437" cy="191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8A8A02" w14:textId="77777777" w:rsidR="00EF6A36" w:rsidRPr="00D30A5D" w:rsidRDefault="00EF6A36" w:rsidP="00D30A5D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</w:rPr>
        <w:sectPr w:rsidR="00EF6A36" w:rsidRPr="00D30A5D" w:rsidSect="00D30A5D">
          <w:type w:val="continuous"/>
          <w:pgSz w:w="12240" w:h="15840"/>
          <w:pgMar w:top="432" w:right="432" w:bottom="432" w:left="1296" w:header="720" w:footer="720" w:gutter="0"/>
          <w:cols w:space="426"/>
          <w:docGrid w:linePitch="360"/>
        </w:sectPr>
      </w:pPr>
    </w:p>
    <w:p w14:paraId="5DDD1C82" w14:textId="77777777" w:rsidR="00A320EC" w:rsidRPr="00D30A5D" w:rsidRDefault="00B54ADB" w:rsidP="00D30A5D">
      <w:pPr>
        <w:pStyle w:val="Frspaiere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30A5D">
        <w:rPr>
          <w:rFonts w:ascii="Times New Roman" w:hAnsi="Times New Roman" w:cs="Times New Roman"/>
          <w:sz w:val="24"/>
          <w:szCs w:val="24"/>
          <w:lang w:val="pt-BR"/>
        </w:rPr>
        <w:t xml:space="preserve">- </w:t>
      </w:r>
      <w:r w:rsidR="00A320EC" w:rsidRPr="00D30A5D">
        <w:rPr>
          <w:rFonts w:ascii="Times New Roman" w:hAnsi="Times New Roman" w:cs="Times New Roman"/>
          <w:sz w:val="24"/>
          <w:szCs w:val="24"/>
          <w:lang w:val="pt-BR"/>
        </w:rPr>
        <w:t>ofilirea și moartea inflorescenţelor, de obicei rămân atașate de plantă;</w:t>
      </w:r>
    </w:p>
    <w:p w14:paraId="069B8065" w14:textId="6A66C89B" w:rsidR="001972EC" w:rsidRPr="00D30A5D" w:rsidRDefault="00B54ADB" w:rsidP="00D30A5D">
      <w:pPr>
        <w:pStyle w:val="Frspaiere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30A5D">
        <w:rPr>
          <w:rFonts w:ascii="Times New Roman" w:hAnsi="Times New Roman" w:cs="Times New Roman"/>
          <w:sz w:val="24"/>
          <w:szCs w:val="24"/>
          <w:lang w:val="pt-BR"/>
        </w:rPr>
        <w:t xml:space="preserve">- </w:t>
      </w:r>
      <w:r w:rsidR="00A320EC" w:rsidRPr="00D30A5D">
        <w:rPr>
          <w:rFonts w:ascii="Times New Roman" w:hAnsi="Times New Roman" w:cs="Times New Roman"/>
          <w:sz w:val="24"/>
          <w:szCs w:val="24"/>
          <w:lang w:val="pt-BR"/>
        </w:rPr>
        <w:t>ofilirea și moartea lăstarilor și a ramurilor,</w:t>
      </w:r>
      <w:r w:rsidR="00104C81" w:rsidRPr="00D30A5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320EC" w:rsidRPr="00D30A5D">
        <w:rPr>
          <w:rFonts w:ascii="Times New Roman" w:hAnsi="Times New Roman" w:cs="Times New Roman"/>
          <w:sz w:val="24"/>
          <w:szCs w:val="24"/>
          <w:lang w:val="pt-BR"/>
        </w:rPr>
        <w:t xml:space="preserve">(se usucă, devin maronii </w:t>
      </w:r>
      <w:r w:rsidR="00104C81" w:rsidRPr="00D30A5D">
        <w:rPr>
          <w:rFonts w:ascii="Times New Roman" w:hAnsi="Times New Roman" w:cs="Times New Roman"/>
          <w:sz w:val="24"/>
          <w:szCs w:val="24"/>
          <w:lang w:val="pt-BR"/>
        </w:rPr>
        <w:t>iar</w:t>
      </w:r>
      <w:r w:rsidR="00A320EC" w:rsidRPr="00D30A5D">
        <w:rPr>
          <w:rFonts w:ascii="Times New Roman" w:hAnsi="Times New Roman" w:cs="Times New Roman"/>
          <w:sz w:val="24"/>
          <w:szCs w:val="24"/>
          <w:lang w:val="pt-BR"/>
        </w:rPr>
        <w:t xml:space="preserve"> vârful lăstarului se îndoaie </w:t>
      </w:r>
    </w:p>
    <w:p w14:paraId="1699677A" w14:textId="554061D1" w:rsidR="00A320EC" w:rsidRPr="00D30A5D" w:rsidRDefault="00A320EC" w:rsidP="00D30A5D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30A5D">
        <w:rPr>
          <w:rFonts w:ascii="Times New Roman" w:hAnsi="Times New Roman" w:cs="Times New Roman"/>
          <w:sz w:val="24"/>
          <w:szCs w:val="24"/>
          <w:lang w:val="pt-BR"/>
        </w:rPr>
        <w:t>într-un mod caracteristic, cunoscut sub numele de "cârja păstorului")</w:t>
      </w:r>
      <w:r w:rsidR="001972EC" w:rsidRPr="00D30A5D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1623836C" w14:textId="0708E84E" w:rsidR="00A320EC" w:rsidRPr="00D30A5D" w:rsidRDefault="00B54ADB" w:rsidP="00D30A5D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30A5D">
        <w:rPr>
          <w:rFonts w:ascii="Times New Roman" w:hAnsi="Times New Roman" w:cs="Times New Roman"/>
          <w:sz w:val="24"/>
          <w:szCs w:val="24"/>
          <w:lang w:val="pt-BR"/>
        </w:rPr>
        <w:t xml:space="preserve">             -</w:t>
      </w:r>
      <w:r w:rsidR="00104C81" w:rsidRPr="00D30A5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320EC" w:rsidRPr="00D30A5D">
        <w:rPr>
          <w:rFonts w:ascii="Times New Roman" w:hAnsi="Times New Roman" w:cs="Times New Roman"/>
          <w:sz w:val="24"/>
          <w:szCs w:val="24"/>
          <w:lang w:val="pt-BR"/>
        </w:rPr>
        <w:t xml:space="preserve">arsura frunzelor, </w:t>
      </w:r>
      <w:r w:rsidR="00EC3DDF" w:rsidRPr="00D30A5D">
        <w:rPr>
          <w:rFonts w:ascii="Times New Roman" w:hAnsi="Times New Roman" w:cs="Times New Roman"/>
          <w:sz w:val="24"/>
          <w:szCs w:val="24"/>
          <w:lang w:val="pt-BR"/>
        </w:rPr>
        <w:t xml:space="preserve">a </w:t>
      </w:r>
      <w:r w:rsidR="00A320EC" w:rsidRPr="00D30A5D">
        <w:rPr>
          <w:rFonts w:ascii="Times New Roman" w:hAnsi="Times New Roman" w:cs="Times New Roman"/>
          <w:sz w:val="24"/>
          <w:szCs w:val="24"/>
          <w:lang w:val="pt-BR"/>
        </w:rPr>
        <w:t>fructelor (aspect mumificat),</w:t>
      </w:r>
      <w:r w:rsidR="00EC3DDF" w:rsidRPr="00D30A5D">
        <w:rPr>
          <w:rFonts w:ascii="Times New Roman" w:hAnsi="Times New Roman" w:cs="Times New Roman"/>
          <w:sz w:val="24"/>
          <w:szCs w:val="24"/>
          <w:lang w:val="pt-BR"/>
        </w:rPr>
        <w:t xml:space="preserve"> a</w:t>
      </w:r>
      <w:r w:rsidR="00A320EC" w:rsidRPr="00D30A5D">
        <w:rPr>
          <w:rFonts w:ascii="Times New Roman" w:hAnsi="Times New Roman" w:cs="Times New Roman"/>
          <w:sz w:val="24"/>
          <w:szCs w:val="24"/>
          <w:lang w:val="pt-BR"/>
        </w:rPr>
        <w:t xml:space="preserve"> ramurilor și trunchiului</w:t>
      </w:r>
      <w:r w:rsidR="001972EC" w:rsidRPr="00D30A5D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6B758060" w14:textId="77777777" w:rsidR="00AD67E1" w:rsidRPr="00684A1E" w:rsidRDefault="00AD67E1" w:rsidP="00D30A5D">
      <w:pPr>
        <w:pStyle w:val="Frspaiere"/>
        <w:ind w:firstLine="720"/>
        <w:jc w:val="both"/>
        <w:rPr>
          <w:rFonts w:ascii="Times New Roman" w:hAnsi="Times New Roman" w:cs="Times New Roman"/>
          <w:b/>
          <w:sz w:val="10"/>
          <w:szCs w:val="10"/>
          <w:lang w:val="pt-BR"/>
        </w:rPr>
      </w:pPr>
    </w:p>
    <w:p w14:paraId="15CAE148" w14:textId="77777777" w:rsidR="00AD67E1" w:rsidRPr="00684A1E" w:rsidRDefault="00AD67E1" w:rsidP="00D30A5D">
      <w:pPr>
        <w:pStyle w:val="Frspaiere"/>
        <w:ind w:firstLine="720"/>
        <w:jc w:val="both"/>
        <w:rPr>
          <w:rFonts w:ascii="Times New Roman" w:hAnsi="Times New Roman" w:cs="Times New Roman"/>
          <w:b/>
          <w:lang w:val="pt-BR"/>
        </w:rPr>
        <w:sectPr w:rsidR="00AD67E1" w:rsidRPr="00684A1E" w:rsidSect="00D30A5D">
          <w:type w:val="continuous"/>
          <w:pgSz w:w="12240" w:h="15840"/>
          <w:pgMar w:top="431" w:right="397" w:bottom="431" w:left="1191" w:header="720" w:footer="720" w:gutter="0"/>
          <w:cols w:space="720"/>
          <w:docGrid w:linePitch="360"/>
        </w:sectPr>
      </w:pPr>
    </w:p>
    <w:p w14:paraId="23314B1E" w14:textId="77777777" w:rsidR="00AD67E1" w:rsidRDefault="00596921" w:rsidP="00D30A5D">
      <w:pPr>
        <w:pStyle w:val="Frspaiere"/>
        <w:jc w:val="both"/>
        <w:rPr>
          <w:rFonts w:ascii="Times New Roman" w:hAnsi="Times New Roman" w:cs="Times New Roman"/>
          <w:b/>
          <w:lang w:val="pt-BR"/>
        </w:rPr>
      </w:pPr>
      <w:r>
        <w:rPr>
          <w:rFonts w:ascii="Times New Roman" w:hAnsi="Times New Roman" w:cs="Times New Roman"/>
          <w:b/>
          <w:noProof/>
          <w:lang w:val="ro-RO" w:eastAsia="ro-RO"/>
        </w:rPr>
        <w:drawing>
          <wp:inline distT="0" distB="0" distL="0" distR="0" wp14:anchorId="0D96C9BC" wp14:editId="6CC5E37F">
            <wp:extent cx="2303142" cy="1852654"/>
            <wp:effectExtent l="0" t="0" r="0" b="0"/>
            <wp:docPr id="167282199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821993" name="Imagine 167282199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501" cy="186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B8E13" w14:textId="77777777" w:rsidR="00AD67E1" w:rsidRPr="00D30A5D" w:rsidRDefault="00AD67E1" w:rsidP="00D30A5D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30A5D">
        <w:rPr>
          <w:rFonts w:ascii="Times New Roman" w:hAnsi="Times New Roman" w:cs="Times New Roman"/>
          <w:b/>
          <w:sz w:val="24"/>
          <w:szCs w:val="24"/>
          <w:lang w:val="pt-BR"/>
        </w:rPr>
        <w:t>Măsuri preventive</w:t>
      </w:r>
      <w:r w:rsidRPr="00D30A5D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7D263003" w14:textId="1B4772D0" w:rsidR="004406B3" w:rsidRPr="00D30A5D" w:rsidRDefault="004406B3" w:rsidP="00D30A5D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30A5D">
        <w:rPr>
          <w:rFonts w:ascii="Times New Roman" w:hAnsi="Times New Roman" w:cs="Times New Roman"/>
          <w:sz w:val="24"/>
          <w:szCs w:val="24"/>
          <w:lang w:val="pt-BR"/>
        </w:rPr>
        <w:t>- detectarea precoce a focarelor noi, prin efectuarea de controale</w:t>
      </w:r>
      <w:r w:rsidR="00116EBF" w:rsidRPr="00D30A5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0742D">
        <w:rPr>
          <w:rFonts w:ascii="Times New Roman" w:hAnsi="Times New Roman" w:cs="Times New Roman"/>
          <w:sz w:val="24"/>
          <w:szCs w:val="24"/>
          <w:lang w:val="pt-BR"/>
        </w:rPr>
        <w:t>î</w:t>
      </w:r>
      <w:r w:rsidR="00116EBF" w:rsidRPr="00D30A5D">
        <w:rPr>
          <w:rFonts w:ascii="Times New Roman" w:hAnsi="Times New Roman" w:cs="Times New Roman"/>
          <w:sz w:val="24"/>
          <w:szCs w:val="24"/>
          <w:lang w:val="pt-BR"/>
        </w:rPr>
        <w:t>n livezi</w:t>
      </w:r>
      <w:r w:rsidRPr="00D30A5D">
        <w:rPr>
          <w:rFonts w:ascii="Times New Roman" w:hAnsi="Times New Roman" w:cs="Times New Roman"/>
          <w:sz w:val="24"/>
          <w:szCs w:val="24"/>
          <w:lang w:val="pt-BR"/>
        </w:rPr>
        <w:t xml:space="preserve">; </w:t>
      </w:r>
    </w:p>
    <w:p w14:paraId="3D0CDD60" w14:textId="7BC4AD28" w:rsidR="004406B3" w:rsidRPr="00D30A5D" w:rsidRDefault="004406B3" w:rsidP="00D30A5D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30A5D">
        <w:rPr>
          <w:rFonts w:ascii="Times New Roman" w:hAnsi="Times New Roman" w:cs="Times New Roman"/>
          <w:sz w:val="24"/>
          <w:szCs w:val="24"/>
          <w:lang w:val="pt-BR"/>
        </w:rPr>
        <w:t>- eliminarea plantelor gazdă cu simptome din flora spontană;</w:t>
      </w:r>
    </w:p>
    <w:p w14:paraId="31957023" w14:textId="77777777" w:rsidR="004406B3" w:rsidRPr="00D30A5D" w:rsidRDefault="009B7C17" w:rsidP="00D30A5D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30A5D">
        <w:rPr>
          <w:rFonts w:ascii="Times New Roman" w:hAnsi="Times New Roman" w:cs="Times New Roman"/>
          <w:sz w:val="24"/>
          <w:szCs w:val="24"/>
          <w:lang w:val="pt-BR"/>
        </w:rPr>
        <w:t xml:space="preserve">- se vor evita </w:t>
      </w:r>
      <w:r w:rsidR="004406B3" w:rsidRPr="00D30A5D">
        <w:rPr>
          <w:rFonts w:ascii="Times New Roman" w:hAnsi="Times New Roman" w:cs="Times New Roman"/>
          <w:sz w:val="24"/>
          <w:szCs w:val="24"/>
          <w:lang w:val="pt-BR"/>
        </w:rPr>
        <w:t xml:space="preserve">tăierile severe (în special la soiurile sensibile); </w:t>
      </w:r>
    </w:p>
    <w:p w14:paraId="4CFBB466" w14:textId="77777777" w:rsidR="004406B3" w:rsidRPr="00D30A5D" w:rsidRDefault="004406B3" w:rsidP="00D30A5D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30A5D">
        <w:rPr>
          <w:rFonts w:ascii="Times New Roman" w:hAnsi="Times New Roman" w:cs="Times New Roman"/>
          <w:sz w:val="24"/>
          <w:szCs w:val="24"/>
          <w:lang w:val="pt-BR"/>
        </w:rPr>
        <w:t xml:space="preserve">- îndepărtaţi toţi lăstarii din portaltoi şi cei lacomi de pe şarpante şi trunchi (iarna târziu sau primăvara devreme) şi inflorescențele secundare; </w:t>
      </w:r>
    </w:p>
    <w:p w14:paraId="6F44840B" w14:textId="4333D9E8" w:rsidR="004406B3" w:rsidRPr="00D30A5D" w:rsidRDefault="004406B3" w:rsidP="00D30A5D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30A5D">
        <w:rPr>
          <w:rFonts w:ascii="Times New Roman" w:hAnsi="Times New Roman" w:cs="Times New Roman"/>
          <w:sz w:val="24"/>
          <w:szCs w:val="24"/>
          <w:lang w:val="pt-BR"/>
        </w:rPr>
        <w:lastRenderedPageBreak/>
        <w:t>- îndepărtați părțile afectate (crengi, ramuri), tăind</w:t>
      </w:r>
      <w:r w:rsidR="00BA7CEB" w:rsidRPr="00D30A5D">
        <w:rPr>
          <w:rFonts w:ascii="Times New Roman" w:hAnsi="Times New Roman" w:cs="Times New Roman"/>
          <w:sz w:val="24"/>
          <w:szCs w:val="24"/>
          <w:lang w:val="pt-BR"/>
        </w:rPr>
        <w:t xml:space="preserve"> ramurile</w:t>
      </w:r>
      <w:r w:rsidR="00EC3DDF" w:rsidRPr="00D30A5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A7CEB" w:rsidRPr="00D30A5D">
        <w:rPr>
          <w:rFonts w:ascii="Times New Roman" w:hAnsi="Times New Roman" w:cs="Times New Roman"/>
          <w:sz w:val="24"/>
          <w:szCs w:val="24"/>
          <w:lang w:val="pt-BR"/>
        </w:rPr>
        <w:t xml:space="preserve">cu 30 – 40 </w:t>
      </w:r>
      <w:r w:rsidRPr="00D30A5D">
        <w:rPr>
          <w:rFonts w:ascii="Times New Roman" w:hAnsi="Times New Roman" w:cs="Times New Roman"/>
          <w:sz w:val="24"/>
          <w:szCs w:val="24"/>
          <w:lang w:val="pt-BR"/>
        </w:rPr>
        <w:t xml:space="preserve"> cm sub leziuni, precum şi porţiunile cu ulcere de pe trunchi, unde bacteria iernează şi eliminați pomii afectaţi grav;</w:t>
      </w:r>
    </w:p>
    <w:p w14:paraId="328A95C7" w14:textId="77777777" w:rsidR="004406B3" w:rsidRPr="00D30A5D" w:rsidRDefault="004406B3" w:rsidP="00D30A5D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30A5D">
        <w:rPr>
          <w:rFonts w:ascii="Times New Roman" w:hAnsi="Times New Roman" w:cs="Times New Roman"/>
          <w:sz w:val="24"/>
          <w:szCs w:val="24"/>
          <w:lang w:val="pt-BR"/>
        </w:rPr>
        <w:t>- ardeţi imediat resturile vegetale;</w:t>
      </w:r>
    </w:p>
    <w:p w14:paraId="09A0CFD5" w14:textId="77777777" w:rsidR="00AD67E1" w:rsidRPr="00D30A5D" w:rsidRDefault="004406B3" w:rsidP="00B0742D">
      <w:pPr>
        <w:pStyle w:val="Frspaiere"/>
        <w:rPr>
          <w:rFonts w:ascii="Times New Roman" w:hAnsi="Times New Roman" w:cs="Times New Roman"/>
          <w:sz w:val="24"/>
          <w:szCs w:val="24"/>
          <w:lang w:val="pt-BR"/>
        </w:rPr>
        <w:sectPr w:rsidR="00AD67E1" w:rsidRPr="00D30A5D" w:rsidSect="00D30A5D">
          <w:type w:val="continuous"/>
          <w:pgSz w:w="12240" w:h="15840"/>
          <w:pgMar w:top="431" w:right="397" w:bottom="431" w:left="1191" w:header="720" w:footer="720" w:gutter="0"/>
          <w:cols w:space="170"/>
          <w:docGrid w:linePitch="360"/>
        </w:sectPr>
      </w:pPr>
      <w:r w:rsidRPr="00D30A5D">
        <w:rPr>
          <w:rFonts w:ascii="Times New Roman" w:hAnsi="Times New Roman" w:cs="Times New Roman"/>
          <w:sz w:val="24"/>
          <w:szCs w:val="24"/>
          <w:lang w:val="pt-BR"/>
        </w:rPr>
        <w:t>- dezinfectați cu atenție</w:t>
      </w:r>
      <w:r w:rsidR="00D75A8E" w:rsidRPr="00D30A5D">
        <w:rPr>
          <w:rFonts w:ascii="Times New Roman" w:hAnsi="Times New Roman" w:cs="Times New Roman"/>
          <w:sz w:val="24"/>
          <w:szCs w:val="24"/>
          <w:lang w:val="pt-BR"/>
        </w:rPr>
        <w:t xml:space="preserve"> uneltele după fiecare pom toaletat</w:t>
      </w:r>
      <w:r w:rsidRPr="00D30A5D">
        <w:rPr>
          <w:rFonts w:ascii="Times New Roman" w:hAnsi="Times New Roman" w:cs="Times New Roman"/>
          <w:sz w:val="24"/>
          <w:szCs w:val="24"/>
          <w:lang w:val="pt-BR"/>
        </w:rPr>
        <w:t>, echipamentele, roţile maşinilor agricole</w:t>
      </w:r>
      <w:r w:rsidR="00D75A8E" w:rsidRPr="00D30A5D">
        <w:rPr>
          <w:rFonts w:ascii="Times New Roman" w:hAnsi="Times New Roman" w:cs="Times New Roman"/>
          <w:sz w:val="24"/>
          <w:szCs w:val="24"/>
          <w:lang w:val="pt-BR"/>
        </w:rPr>
        <w:t xml:space="preserve"> cu o soluție de </w:t>
      </w:r>
      <w:r w:rsidR="00D75A8E" w:rsidRPr="00D30A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alcool etilic, clor sau alt dezinfectant</w:t>
      </w:r>
      <w:r w:rsidRPr="00D30A5D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7951DE5D" w14:textId="7E690FAA" w:rsidR="00AD67E1" w:rsidRPr="00D30A5D" w:rsidRDefault="00AD67E1" w:rsidP="00D30A5D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30A5D">
        <w:rPr>
          <w:rFonts w:ascii="Times New Roman" w:hAnsi="Times New Roman" w:cs="Times New Roman"/>
          <w:sz w:val="24"/>
          <w:szCs w:val="24"/>
          <w:lang w:val="pt-BR"/>
        </w:rPr>
        <w:tab/>
        <w:t xml:space="preserve">Lucrarea se va executa </w:t>
      </w:r>
      <w:r w:rsidR="006563E8" w:rsidRPr="00D30A5D">
        <w:rPr>
          <w:rFonts w:ascii="Times New Roman" w:hAnsi="Times New Roman" w:cs="Times New Roman"/>
          <w:sz w:val="24"/>
          <w:szCs w:val="24"/>
          <w:lang w:val="pt-BR"/>
        </w:rPr>
        <w:t>î</w:t>
      </w:r>
      <w:r w:rsidRPr="00D30A5D">
        <w:rPr>
          <w:rFonts w:ascii="Times New Roman" w:hAnsi="Times New Roman" w:cs="Times New Roman"/>
          <w:sz w:val="24"/>
          <w:szCs w:val="24"/>
          <w:lang w:val="pt-BR"/>
        </w:rPr>
        <w:t>nainte de t</w:t>
      </w:r>
      <w:r w:rsidR="006563E8" w:rsidRPr="00D30A5D">
        <w:rPr>
          <w:rFonts w:ascii="Times New Roman" w:hAnsi="Times New Roman" w:cs="Times New Roman"/>
          <w:sz w:val="24"/>
          <w:szCs w:val="24"/>
          <w:lang w:val="pt-BR"/>
        </w:rPr>
        <w:t>ă</w:t>
      </w:r>
      <w:r w:rsidRPr="00D30A5D">
        <w:rPr>
          <w:rFonts w:ascii="Times New Roman" w:hAnsi="Times New Roman" w:cs="Times New Roman"/>
          <w:sz w:val="24"/>
          <w:szCs w:val="24"/>
          <w:lang w:val="pt-BR"/>
        </w:rPr>
        <w:t>ierile obi</w:t>
      </w:r>
      <w:r w:rsidR="006563E8" w:rsidRPr="00D30A5D">
        <w:rPr>
          <w:rFonts w:ascii="Times New Roman" w:hAnsi="Times New Roman" w:cs="Times New Roman"/>
          <w:sz w:val="24"/>
          <w:szCs w:val="24"/>
          <w:lang w:val="pt-BR"/>
        </w:rPr>
        <w:t>ș</w:t>
      </w:r>
      <w:r w:rsidRPr="00D30A5D">
        <w:rPr>
          <w:rFonts w:ascii="Times New Roman" w:hAnsi="Times New Roman" w:cs="Times New Roman"/>
          <w:sz w:val="24"/>
          <w:szCs w:val="24"/>
          <w:lang w:val="pt-BR"/>
        </w:rPr>
        <w:t>nuite din livad</w:t>
      </w:r>
      <w:r w:rsidR="006563E8" w:rsidRPr="00D30A5D">
        <w:rPr>
          <w:rFonts w:ascii="Times New Roman" w:hAnsi="Times New Roman" w:cs="Times New Roman"/>
          <w:sz w:val="24"/>
          <w:szCs w:val="24"/>
          <w:lang w:val="pt-BR"/>
        </w:rPr>
        <w:t>ă</w:t>
      </w:r>
      <w:r w:rsidRPr="00D30A5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563E8" w:rsidRPr="00D30A5D">
        <w:rPr>
          <w:rFonts w:ascii="Times New Roman" w:hAnsi="Times New Roman" w:cs="Times New Roman"/>
          <w:sz w:val="24"/>
          <w:szCs w:val="24"/>
          <w:lang w:val="pt-BR"/>
        </w:rPr>
        <w:t>ș</w:t>
      </w:r>
      <w:r w:rsidRPr="00D30A5D">
        <w:rPr>
          <w:rFonts w:ascii="Times New Roman" w:hAnsi="Times New Roman" w:cs="Times New Roman"/>
          <w:sz w:val="24"/>
          <w:szCs w:val="24"/>
          <w:lang w:val="pt-BR"/>
        </w:rPr>
        <w:t>i p</w:t>
      </w:r>
      <w:r w:rsidR="006563E8" w:rsidRPr="00D30A5D">
        <w:rPr>
          <w:rFonts w:ascii="Times New Roman" w:hAnsi="Times New Roman" w:cs="Times New Roman"/>
          <w:sz w:val="24"/>
          <w:szCs w:val="24"/>
          <w:lang w:val="pt-BR"/>
        </w:rPr>
        <w:t>â</w:t>
      </w:r>
      <w:r w:rsidRPr="00D30A5D">
        <w:rPr>
          <w:rFonts w:ascii="Times New Roman" w:hAnsi="Times New Roman" w:cs="Times New Roman"/>
          <w:sz w:val="24"/>
          <w:szCs w:val="24"/>
          <w:lang w:val="pt-BR"/>
        </w:rPr>
        <w:t>n</w:t>
      </w:r>
      <w:r w:rsidR="006563E8" w:rsidRPr="00D30A5D">
        <w:rPr>
          <w:rFonts w:ascii="Times New Roman" w:hAnsi="Times New Roman" w:cs="Times New Roman"/>
          <w:sz w:val="24"/>
          <w:szCs w:val="24"/>
          <w:lang w:val="pt-BR"/>
        </w:rPr>
        <w:t>ă</w:t>
      </w:r>
      <w:r w:rsidRPr="00D30A5D">
        <w:rPr>
          <w:rFonts w:ascii="Times New Roman" w:hAnsi="Times New Roman" w:cs="Times New Roman"/>
          <w:sz w:val="24"/>
          <w:szCs w:val="24"/>
          <w:lang w:val="pt-BR"/>
        </w:rPr>
        <w:t xml:space="preserve"> la intrarea </w:t>
      </w:r>
      <w:r w:rsidR="006563E8" w:rsidRPr="00D30A5D">
        <w:rPr>
          <w:rFonts w:ascii="Times New Roman" w:hAnsi="Times New Roman" w:cs="Times New Roman"/>
          <w:sz w:val="24"/>
          <w:szCs w:val="24"/>
          <w:lang w:val="pt-BR"/>
        </w:rPr>
        <w:t>î</w:t>
      </w:r>
      <w:r w:rsidRPr="00D30A5D">
        <w:rPr>
          <w:rFonts w:ascii="Times New Roman" w:hAnsi="Times New Roman" w:cs="Times New Roman"/>
          <w:sz w:val="24"/>
          <w:szCs w:val="24"/>
          <w:lang w:val="pt-BR"/>
        </w:rPr>
        <w:t>n vegeta</w:t>
      </w:r>
      <w:r w:rsidR="006563E8" w:rsidRPr="00D30A5D">
        <w:rPr>
          <w:rFonts w:ascii="Times New Roman" w:hAnsi="Times New Roman" w:cs="Times New Roman"/>
          <w:sz w:val="24"/>
          <w:szCs w:val="24"/>
          <w:lang w:val="pt-BR"/>
        </w:rPr>
        <w:t>ț</w:t>
      </w:r>
      <w:r w:rsidRPr="00D30A5D">
        <w:rPr>
          <w:rFonts w:ascii="Times New Roman" w:hAnsi="Times New Roman" w:cs="Times New Roman"/>
          <w:sz w:val="24"/>
          <w:szCs w:val="24"/>
          <w:lang w:val="pt-BR"/>
        </w:rPr>
        <w:t>ie a pomilor.</w:t>
      </w:r>
    </w:p>
    <w:p w14:paraId="54CC9AA2" w14:textId="77777777" w:rsidR="00204DDB" w:rsidRPr="00D30A5D" w:rsidRDefault="004406B3" w:rsidP="00D30A5D">
      <w:pPr>
        <w:pStyle w:val="Frspaiere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30A5D">
        <w:rPr>
          <w:rFonts w:ascii="Times New Roman" w:hAnsi="Times New Roman" w:cs="Times New Roman"/>
          <w:b/>
          <w:sz w:val="24"/>
          <w:szCs w:val="24"/>
          <w:lang w:val="pt-BR"/>
        </w:rPr>
        <w:t xml:space="preserve">Măsuri curative </w:t>
      </w:r>
      <w:r w:rsidR="009B7C17" w:rsidRPr="00D30A5D">
        <w:rPr>
          <w:rFonts w:ascii="Times New Roman" w:hAnsi="Times New Roman" w:cs="Times New Roman"/>
          <w:b/>
          <w:sz w:val="24"/>
          <w:szCs w:val="24"/>
          <w:lang w:val="pt-BR"/>
        </w:rPr>
        <w:t xml:space="preserve">- </w:t>
      </w:r>
      <w:r w:rsidRPr="00D30A5D">
        <w:rPr>
          <w:rFonts w:ascii="Times New Roman" w:hAnsi="Times New Roman" w:cs="Times New Roman"/>
          <w:b/>
          <w:sz w:val="24"/>
          <w:szCs w:val="24"/>
          <w:lang w:val="pt-BR"/>
        </w:rPr>
        <w:t>metode chimice</w:t>
      </w:r>
      <w:r w:rsidR="00762414" w:rsidRPr="00D30A5D">
        <w:rPr>
          <w:rFonts w:ascii="Times New Roman" w:hAnsi="Times New Roman" w:cs="Times New Roman"/>
          <w:b/>
          <w:sz w:val="24"/>
          <w:szCs w:val="24"/>
          <w:lang w:val="pt-BR"/>
        </w:rPr>
        <w:t>:</w:t>
      </w:r>
    </w:p>
    <w:p w14:paraId="485514A3" w14:textId="440286EA" w:rsidR="007F47A9" w:rsidRPr="00D30A5D" w:rsidRDefault="00204DDB" w:rsidP="00D30A5D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30A5D">
        <w:rPr>
          <w:rFonts w:ascii="Times New Roman" w:hAnsi="Times New Roman" w:cs="Times New Roman"/>
          <w:sz w:val="24"/>
          <w:szCs w:val="24"/>
          <w:lang w:val="pt-BR"/>
        </w:rPr>
        <w:t>-</w:t>
      </w:r>
      <w:r w:rsidR="00EC3DDF" w:rsidRPr="00D30A5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30A5D">
        <w:rPr>
          <w:rFonts w:ascii="Times New Roman" w:hAnsi="Times New Roman" w:cs="Times New Roman"/>
          <w:sz w:val="24"/>
          <w:szCs w:val="24"/>
          <w:lang w:val="pt-BR"/>
        </w:rPr>
        <w:t>tratamentul se va executa dup</w:t>
      </w:r>
      <w:r w:rsidR="006563E8" w:rsidRPr="00D30A5D">
        <w:rPr>
          <w:rFonts w:ascii="Times New Roman" w:hAnsi="Times New Roman" w:cs="Times New Roman"/>
          <w:sz w:val="24"/>
          <w:szCs w:val="24"/>
          <w:lang w:val="pt-BR"/>
        </w:rPr>
        <w:t>ă</w:t>
      </w:r>
      <w:r w:rsidRPr="00D30A5D">
        <w:rPr>
          <w:rFonts w:ascii="Times New Roman" w:hAnsi="Times New Roman" w:cs="Times New Roman"/>
          <w:sz w:val="24"/>
          <w:szCs w:val="24"/>
          <w:lang w:val="pt-BR"/>
        </w:rPr>
        <w:t xml:space="preserve"> efectuarea lucr</w:t>
      </w:r>
      <w:r w:rsidR="006563E8" w:rsidRPr="00D30A5D">
        <w:rPr>
          <w:rFonts w:ascii="Times New Roman" w:hAnsi="Times New Roman" w:cs="Times New Roman"/>
          <w:sz w:val="24"/>
          <w:szCs w:val="24"/>
          <w:lang w:val="pt-BR"/>
        </w:rPr>
        <w:t>ă</w:t>
      </w:r>
      <w:r w:rsidRPr="00D30A5D">
        <w:rPr>
          <w:rFonts w:ascii="Times New Roman" w:hAnsi="Times New Roman" w:cs="Times New Roman"/>
          <w:sz w:val="24"/>
          <w:szCs w:val="24"/>
          <w:lang w:val="pt-BR"/>
        </w:rPr>
        <w:t>rilor de igien</w:t>
      </w:r>
      <w:r w:rsidR="006563E8" w:rsidRPr="00D30A5D">
        <w:rPr>
          <w:rFonts w:ascii="Times New Roman" w:hAnsi="Times New Roman" w:cs="Times New Roman"/>
          <w:sz w:val="24"/>
          <w:szCs w:val="24"/>
          <w:lang w:val="pt-BR"/>
        </w:rPr>
        <w:t>ă</w:t>
      </w:r>
      <w:r w:rsidRPr="00D30A5D">
        <w:rPr>
          <w:rFonts w:ascii="Times New Roman" w:hAnsi="Times New Roman" w:cs="Times New Roman"/>
          <w:sz w:val="24"/>
          <w:szCs w:val="24"/>
          <w:lang w:val="pt-BR"/>
        </w:rPr>
        <w:t xml:space="preserve"> c</w:t>
      </w:r>
      <w:r w:rsidR="00325D51" w:rsidRPr="00D30A5D">
        <w:rPr>
          <w:rFonts w:ascii="Times New Roman" w:hAnsi="Times New Roman" w:cs="Times New Roman"/>
          <w:sz w:val="24"/>
          <w:szCs w:val="24"/>
          <w:lang w:val="pt-BR"/>
        </w:rPr>
        <w:t>ultural</w:t>
      </w:r>
      <w:r w:rsidR="006563E8" w:rsidRPr="00D30A5D">
        <w:rPr>
          <w:rFonts w:ascii="Times New Roman" w:hAnsi="Times New Roman" w:cs="Times New Roman"/>
          <w:sz w:val="24"/>
          <w:szCs w:val="24"/>
          <w:lang w:val="pt-BR"/>
        </w:rPr>
        <w:t>ă</w:t>
      </w:r>
      <w:r w:rsidR="00325D51" w:rsidRPr="00D30A5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6563E8" w:rsidRPr="00D30A5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25D51" w:rsidRPr="00D30A5D">
        <w:rPr>
          <w:rFonts w:ascii="Times New Roman" w:hAnsi="Times New Roman" w:cs="Times New Roman"/>
          <w:sz w:val="24"/>
          <w:szCs w:val="24"/>
          <w:lang w:val="pt-BR"/>
        </w:rPr>
        <w:t xml:space="preserve">la temperaturi de </w:t>
      </w:r>
      <w:r w:rsidR="00325D51" w:rsidRPr="00D30A5D">
        <w:rPr>
          <w:rFonts w:ascii="Times New Roman" w:hAnsi="Times New Roman" w:cs="Times New Roman"/>
          <w:b/>
          <w:bCs/>
          <w:sz w:val="24"/>
          <w:szCs w:val="24"/>
          <w:lang w:val="pt-BR"/>
        </w:rPr>
        <w:t>+</w:t>
      </w:r>
      <w:r w:rsidR="006563E8" w:rsidRPr="00D30A5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325D51" w:rsidRPr="00D30A5D">
        <w:rPr>
          <w:rFonts w:ascii="Times New Roman" w:hAnsi="Times New Roman" w:cs="Times New Roman"/>
          <w:b/>
          <w:bCs/>
          <w:sz w:val="24"/>
          <w:szCs w:val="24"/>
          <w:lang w:val="pt-BR"/>
        </w:rPr>
        <w:t>4</w:t>
      </w:r>
      <w:r w:rsidR="006563E8" w:rsidRPr="00D30A5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C24112" w:rsidRPr="00D30A5D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pt-BR"/>
        </w:rPr>
        <w:t>o</w:t>
      </w:r>
      <w:r w:rsidRPr="00D30A5D">
        <w:rPr>
          <w:rFonts w:ascii="Times New Roman" w:hAnsi="Times New Roman" w:cs="Times New Roman"/>
          <w:b/>
          <w:bCs/>
          <w:sz w:val="24"/>
          <w:szCs w:val="24"/>
          <w:lang w:val="pt-BR"/>
        </w:rPr>
        <w:t>C</w:t>
      </w:r>
      <w:r w:rsidR="00325D51" w:rsidRPr="00D30A5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,</w:t>
      </w:r>
      <w:r w:rsidRPr="00D30A5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+</w:t>
      </w:r>
      <w:r w:rsidR="006563E8" w:rsidRPr="00D30A5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D30A5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="006563E8" w:rsidRPr="00D30A5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C24112" w:rsidRPr="00D30A5D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pt-BR"/>
        </w:rPr>
        <w:t>o</w:t>
      </w:r>
      <w:r w:rsidR="00325D51" w:rsidRPr="00D30A5D">
        <w:rPr>
          <w:rFonts w:ascii="Times New Roman" w:hAnsi="Times New Roman" w:cs="Times New Roman"/>
          <w:b/>
          <w:bCs/>
          <w:sz w:val="24"/>
          <w:szCs w:val="24"/>
          <w:lang w:val="pt-BR"/>
        </w:rPr>
        <w:t>C</w:t>
      </w:r>
      <w:r w:rsidR="00325D51" w:rsidRPr="00D30A5D">
        <w:rPr>
          <w:rFonts w:ascii="Times New Roman" w:hAnsi="Times New Roman" w:cs="Times New Roman"/>
          <w:sz w:val="24"/>
          <w:szCs w:val="24"/>
          <w:lang w:val="pt-BR"/>
        </w:rPr>
        <w:t xml:space="preserve"> , la pomii </w:t>
      </w:r>
      <w:r w:rsidR="004A547E" w:rsidRPr="00D30A5D">
        <w:rPr>
          <w:rFonts w:ascii="Times New Roman" w:hAnsi="Times New Roman" w:cs="Times New Roman"/>
          <w:sz w:val="24"/>
          <w:szCs w:val="24"/>
          <w:lang w:val="pt-BR"/>
        </w:rPr>
        <w:t>zvântați</w:t>
      </w:r>
      <w:r w:rsidR="006563E8" w:rsidRPr="00D30A5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A547E" w:rsidRPr="00D30A5D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325D51" w:rsidRPr="00D30A5D">
        <w:rPr>
          <w:rFonts w:ascii="Times New Roman" w:hAnsi="Times New Roman" w:cs="Times New Roman"/>
          <w:sz w:val="24"/>
          <w:szCs w:val="24"/>
          <w:lang w:val="pt-BR"/>
        </w:rPr>
        <w:t>f</w:t>
      </w:r>
      <w:r w:rsidR="006563E8" w:rsidRPr="00D30A5D">
        <w:rPr>
          <w:rFonts w:ascii="Times New Roman" w:hAnsi="Times New Roman" w:cs="Times New Roman"/>
          <w:sz w:val="24"/>
          <w:szCs w:val="24"/>
          <w:lang w:val="pt-BR"/>
        </w:rPr>
        <w:t>ă</w:t>
      </w:r>
      <w:r w:rsidR="00325D51" w:rsidRPr="00D30A5D">
        <w:rPr>
          <w:rFonts w:ascii="Times New Roman" w:hAnsi="Times New Roman" w:cs="Times New Roman"/>
          <w:sz w:val="24"/>
          <w:szCs w:val="24"/>
          <w:lang w:val="pt-BR"/>
        </w:rPr>
        <w:t>r</w:t>
      </w:r>
      <w:r w:rsidR="006563E8" w:rsidRPr="00D30A5D">
        <w:rPr>
          <w:rFonts w:ascii="Times New Roman" w:hAnsi="Times New Roman" w:cs="Times New Roman"/>
          <w:sz w:val="24"/>
          <w:szCs w:val="24"/>
          <w:lang w:val="pt-BR"/>
        </w:rPr>
        <w:t>ă</w:t>
      </w:r>
      <w:r w:rsidR="00325D51" w:rsidRPr="00D30A5D">
        <w:rPr>
          <w:rFonts w:ascii="Times New Roman" w:hAnsi="Times New Roman" w:cs="Times New Roman"/>
          <w:sz w:val="24"/>
          <w:szCs w:val="24"/>
          <w:lang w:val="pt-BR"/>
        </w:rPr>
        <w:t xml:space="preserve"> ap</w:t>
      </w:r>
      <w:r w:rsidR="00762414" w:rsidRPr="00D30A5D">
        <w:rPr>
          <w:rFonts w:ascii="Times New Roman" w:hAnsi="Times New Roman" w:cs="Times New Roman"/>
          <w:sz w:val="24"/>
          <w:szCs w:val="24"/>
          <w:lang w:val="pt-BR"/>
        </w:rPr>
        <w:t>ă</w:t>
      </w:r>
      <w:r w:rsidR="004A547E" w:rsidRPr="00D30A5D">
        <w:rPr>
          <w:rFonts w:ascii="Times New Roman" w:hAnsi="Times New Roman" w:cs="Times New Roman"/>
          <w:sz w:val="24"/>
          <w:szCs w:val="24"/>
          <w:lang w:val="pt-BR"/>
        </w:rPr>
        <w:t>)</w:t>
      </w:r>
      <w:r w:rsidRPr="00D30A5D">
        <w:rPr>
          <w:rFonts w:ascii="Times New Roman" w:hAnsi="Times New Roman" w:cs="Times New Roman"/>
          <w:sz w:val="24"/>
          <w:szCs w:val="24"/>
          <w:lang w:val="pt-BR"/>
        </w:rPr>
        <w:t>, chiciur</w:t>
      </w:r>
      <w:r w:rsidR="004A547E" w:rsidRPr="00D30A5D">
        <w:rPr>
          <w:rFonts w:ascii="Times New Roman" w:hAnsi="Times New Roman" w:cs="Times New Roman"/>
          <w:sz w:val="24"/>
          <w:szCs w:val="24"/>
          <w:lang w:val="pt-BR"/>
        </w:rPr>
        <w:t>ă</w:t>
      </w:r>
      <w:r w:rsidRPr="00D30A5D">
        <w:rPr>
          <w:rFonts w:ascii="Times New Roman" w:hAnsi="Times New Roman" w:cs="Times New Roman"/>
          <w:sz w:val="24"/>
          <w:szCs w:val="24"/>
          <w:lang w:val="pt-BR"/>
        </w:rPr>
        <w:t xml:space="preserve"> sau polei</w:t>
      </w:r>
      <w:r w:rsidR="006563E8" w:rsidRPr="00D30A5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4406B3" w:rsidRPr="00D30A5D">
        <w:rPr>
          <w:rFonts w:ascii="Times New Roman" w:hAnsi="Times New Roman" w:cs="Times New Roman"/>
          <w:sz w:val="24"/>
          <w:szCs w:val="24"/>
          <w:lang w:val="pt-BR"/>
        </w:rPr>
        <w:t>prin utilizarea următoarelor produse de protecţie a plantelor:</w:t>
      </w:r>
    </w:p>
    <w:p w14:paraId="03059E9D" w14:textId="2E7BA39C" w:rsidR="007F47A9" w:rsidRPr="00D30A5D" w:rsidRDefault="009F05A0" w:rsidP="00D30A5D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30A5D">
        <w:rPr>
          <w:rFonts w:ascii="Times New Roman" w:hAnsi="Times New Roman" w:cs="Times New Roman"/>
          <w:b/>
          <w:sz w:val="24"/>
          <w:szCs w:val="24"/>
          <w:lang w:val="pt-BR"/>
        </w:rPr>
        <w:t>A</w:t>
      </w:r>
      <w:r w:rsidR="006563E8" w:rsidRPr="00D30A5D">
        <w:rPr>
          <w:rFonts w:ascii="Times New Roman" w:hAnsi="Times New Roman" w:cs="Times New Roman"/>
          <w:b/>
          <w:sz w:val="24"/>
          <w:szCs w:val="24"/>
          <w:lang w:val="pt-BR"/>
        </w:rPr>
        <w:t xml:space="preserve">irone </w:t>
      </w:r>
      <w:r w:rsidRPr="00D30A5D">
        <w:rPr>
          <w:rFonts w:ascii="Times New Roman" w:hAnsi="Times New Roman" w:cs="Times New Roman"/>
          <w:b/>
          <w:sz w:val="24"/>
          <w:szCs w:val="24"/>
          <w:lang w:val="pt-BR"/>
        </w:rPr>
        <w:t>SC</w:t>
      </w:r>
      <w:r w:rsidR="006563E8" w:rsidRPr="00D30A5D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A862C2" w:rsidRPr="00D30A5D">
        <w:rPr>
          <w:rFonts w:ascii="Times New Roman" w:hAnsi="Times New Roman" w:cs="Times New Roman"/>
          <w:b/>
          <w:sz w:val="24"/>
          <w:szCs w:val="24"/>
          <w:lang w:val="pt-BR"/>
        </w:rPr>
        <w:t>(</w:t>
      </w:r>
      <w:r w:rsidR="00A862C2" w:rsidRPr="00D30A5D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cupru - </w:t>
      </w:r>
      <w:r w:rsidR="007F47A9" w:rsidRPr="00D30A5D">
        <w:rPr>
          <w:rFonts w:ascii="Times New Roman" w:hAnsi="Times New Roman" w:cs="Times New Roman"/>
          <w:bCs/>
          <w:sz w:val="24"/>
          <w:szCs w:val="24"/>
          <w:lang w:val="pt-BR"/>
        </w:rPr>
        <w:t>272 g/l)</w:t>
      </w:r>
      <w:r w:rsidR="006563E8" w:rsidRPr="00D30A5D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Pr="00D30A5D">
        <w:rPr>
          <w:rFonts w:ascii="Times New Roman" w:hAnsi="Times New Roman" w:cs="Times New Roman"/>
          <w:b/>
          <w:sz w:val="24"/>
          <w:szCs w:val="24"/>
          <w:lang w:val="pt-BR"/>
        </w:rPr>
        <w:t>- 3,0 l/ha</w:t>
      </w:r>
      <w:r w:rsidRPr="00D30A5D">
        <w:rPr>
          <w:rFonts w:ascii="Times New Roman" w:hAnsi="Times New Roman" w:cs="Times New Roman"/>
          <w:sz w:val="24"/>
          <w:szCs w:val="24"/>
          <w:lang w:val="pt-BR"/>
        </w:rPr>
        <w:t xml:space="preserve"> sau </w:t>
      </w:r>
      <w:r w:rsidR="006E4D8A" w:rsidRPr="00D30A5D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="006563E8" w:rsidRPr="00D30A5D">
        <w:rPr>
          <w:rFonts w:ascii="Times New Roman" w:hAnsi="Times New Roman" w:cs="Times New Roman"/>
          <w:b/>
          <w:bCs/>
          <w:sz w:val="24"/>
          <w:szCs w:val="24"/>
          <w:lang w:val="pt-BR"/>
        </w:rPr>
        <w:t>lcupral</w:t>
      </w:r>
      <w:r w:rsidR="006E4D8A" w:rsidRPr="00D30A5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50 PU</w:t>
      </w:r>
      <w:r w:rsidR="006563E8" w:rsidRPr="00D30A5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7F47A9" w:rsidRPr="00D30A5D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7F47A9" w:rsidRPr="00D30A5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cupru metalic, sub formă de oxiclorură de cupru – 500 g/kg)</w:t>
      </w:r>
      <w:r w:rsidR="006E4D8A" w:rsidRPr="00D30A5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– 2,0 kg/ha (0,2%) </w:t>
      </w:r>
      <w:r w:rsidR="006E4D8A" w:rsidRPr="00B0742D">
        <w:rPr>
          <w:rFonts w:ascii="Times New Roman" w:hAnsi="Times New Roman" w:cs="Times New Roman"/>
          <w:sz w:val="24"/>
          <w:szCs w:val="24"/>
          <w:lang w:val="ro-RO"/>
        </w:rPr>
        <w:t>la măr;</w:t>
      </w:r>
      <w:r w:rsidR="006E4D8A" w:rsidRPr="00D30A5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3,0 kg/ha (0,3%) la păr și 4,5 kg/ha (0,</w:t>
      </w:r>
      <w:r w:rsidR="008E73A3" w:rsidRPr="00D30A5D">
        <w:rPr>
          <w:rFonts w:ascii="Times New Roman" w:hAnsi="Times New Roman" w:cs="Times New Roman"/>
          <w:b/>
          <w:bCs/>
          <w:sz w:val="24"/>
          <w:szCs w:val="24"/>
          <w:lang w:val="ro-RO"/>
        </w:rPr>
        <w:t>3</w:t>
      </w:r>
      <w:r w:rsidR="006E4D8A" w:rsidRPr="00D30A5D">
        <w:rPr>
          <w:rFonts w:ascii="Times New Roman" w:hAnsi="Times New Roman" w:cs="Times New Roman"/>
          <w:b/>
          <w:bCs/>
          <w:sz w:val="24"/>
          <w:szCs w:val="24"/>
          <w:lang w:val="ro-RO"/>
        </w:rPr>
        <w:t>%)</w:t>
      </w:r>
      <w:r w:rsidR="008E73A3" w:rsidRPr="00D30A5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8E73A3" w:rsidRPr="00B0742D">
        <w:rPr>
          <w:rFonts w:ascii="Times New Roman" w:hAnsi="Times New Roman" w:cs="Times New Roman"/>
          <w:sz w:val="24"/>
          <w:szCs w:val="24"/>
          <w:lang w:val="ro-RO"/>
        </w:rPr>
        <w:t>la gutui</w:t>
      </w:r>
      <w:r w:rsidR="006563E8" w:rsidRPr="00D30A5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 w:rsidR="006E4D8A" w:rsidRPr="00D30A5D">
        <w:rPr>
          <w:rFonts w:ascii="Times New Roman" w:hAnsi="Times New Roman" w:cs="Times New Roman"/>
          <w:sz w:val="24"/>
          <w:szCs w:val="24"/>
          <w:lang w:val="ro-RO"/>
        </w:rPr>
        <w:t xml:space="preserve">sau </w:t>
      </w:r>
    </w:p>
    <w:p w14:paraId="09A2A802" w14:textId="1EDC8030" w:rsidR="007F47A9" w:rsidRPr="00D30A5D" w:rsidRDefault="009F05A0" w:rsidP="00D30A5D">
      <w:pPr>
        <w:pStyle w:val="Frspaiere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D30A5D">
        <w:rPr>
          <w:rFonts w:ascii="Times New Roman" w:hAnsi="Times New Roman" w:cs="Times New Roman"/>
          <w:b/>
          <w:sz w:val="24"/>
          <w:szCs w:val="24"/>
          <w:lang w:val="ro-RO"/>
        </w:rPr>
        <w:t>B</w:t>
      </w:r>
      <w:r w:rsidR="006563E8" w:rsidRPr="00D30A5D">
        <w:rPr>
          <w:rFonts w:ascii="Times New Roman" w:hAnsi="Times New Roman" w:cs="Times New Roman"/>
          <w:b/>
          <w:sz w:val="24"/>
          <w:szCs w:val="24"/>
          <w:lang w:val="ro-RO"/>
        </w:rPr>
        <w:t>adge</w:t>
      </w:r>
      <w:r w:rsidR="004A547E" w:rsidRPr="00D30A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WG </w:t>
      </w:r>
      <w:r w:rsidR="006563E8" w:rsidRPr="00D30A5D">
        <w:rPr>
          <w:rFonts w:ascii="Times New Roman" w:hAnsi="Times New Roman" w:cs="Times New Roman"/>
          <w:b/>
          <w:sz w:val="24"/>
          <w:szCs w:val="24"/>
          <w:lang w:val="ro-RO"/>
        </w:rPr>
        <w:t>(</w:t>
      </w:r>
      <w:r w:rsidR="004A547E" w:rsidRPr="00D30A5D">
        <w:rPr>
          <w:rFonts w:ascii="Times New Roman" w:hAnsi="Times New Roman" w:cs="Times New Roman"/>
          <w:b/>
          <w:sz w:val="24"/>
          <w:szCs w:val="24"/>
          <w:lang w:val="ro-RO"/>
        </w:rPr>
        <w:t>C</w:t>
      </w:r>
      <w:r w:rsidR="006563E8" w:rsidRPr="00D30A5D">
        <w:rPr>
          <w:rFonts w:ascii="Times New Roman" w:hAnsi="Times New Roman" w:cs="Times New Roman"/>
          <w:b/>
          <w:sz w:val="24"/>
          <w:szCs w:val="24"/>
          <w:lang w:val="ro-RO"/>
        </w:rPr>
        <w:t>oprantol Duo</w:t>
      </w:r>
      <w:r w:rsidR="004A547E" w:rsidRPr="00D30A5D">
        <w:rPr>
          <w:rFonts w:ascii="Times New Roman" w:hAnsi="Times New Roman" w:cs="Times New Roman"/>
          <w:b/>
          <w:sz w:val="24"/>
          <w:szCs w:val="24"/>
          <w:lang w:val="ro-RO"/>
        </w:rPr>
        <w:t>)</w:t>
      </w:r>
      <w:r w:rsidR="006563E8" w:rsidRPr="00D30A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7F47A9" w:rsidRPr="00D30A5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(cupru – 280 g/kg) </w:t>
      </w:r>
      <w:r w:rsidRPr="00D30A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- 2,9 </w:t>
      </w:r>
      <w:r w:rsidR="00B06F98" w:rsidRPr="00D30A5D">
        <w:rPr>
          <w:rFonts w:ascii="Times New Roman" w:hAnsi="Times New Roman" w:cs="Times New Roman"/>
          <w:b/>
          <w:sz w:val="24"/>
          <w:szCs w:val="24"/>
          <w:lang w:val="ro-RO"/>
        </w:rPr>
        <w:t>kg</w:t>
      </w:r>
      <w:r w:rsidRPr="00D30A5D">
        <w:rPr>
          <w:rFonts w:ascii="Times New Roman" w:hAnsi="Times New Roman" w:cs="Times New Roman"/>
          <w:b/>
          <w:sz w:val="24"/>
          <w:szCs w:val="24"/>
          <w:lang w:val="ro-RO"/>
        </w:rPr>
        <w:t>/ha</w:t>
      </w:r>
      <w:r w:rsidR="00B40A7C" w:rsidRPr="00D30A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684A1E" w:rsidRPr="00D30A5D">
        <w:rPr>
          <w:rFonts w:ascii="Times New Roman" w:hAnsi="Times New Roman" w:cs="Times New Roman"/>
          <w:bCs/>
          <w:sz w:val="24"/>
          <w:szCs w:val="24"/>
          <w:lang w:val="ro-RO"/>
        </w:rPr>
        <w:t>(măr</w:t>
      </w:r>
      <w:r w:rsidR="00725E5C" w:rsidRPr="00D30A5D">
        <w:rPr>
          <w:rFonts w:ascii="Times New Roman" w:hAnsi="Times New Roman" w:cs="Times New Roman"/>
          <w:bCs/>
          <w:sz w:val="24"/>
          <w:szCs w:val="24"/>
          <w:lang w:val="ro-RO"/>
        </w:rPr>
        <w:t>, gutui, păr</w:t>
      </w:r>
      <w:r w:rsidR="00684A1E" w:rsidRPr="00D30A5D">
        <w:rPr>
          <w:rFonts w:ascii="Times New Roman" w:hAnsi="Times New Roman" w:cs="Times New Roman"/>
          <w:bCs/>
          <w:sz w:val="24"/>
          <w:szCs w:val="24"/>
          <w:lang w:val="ro-RO"/>
        </w:rPr>
        <w:t>)</w:t>
      </w:r>
      <w:r w:rsidR="00B40A7C" w:rsidRPr="00D30A5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D30A5D">
        <w:rPr>
          <w:rFonts w:ascii="Times New Roman" w:hAnsi="Times New Roman" w:cs="Times New Roman"/>
          <w:sz w:val="24"/>
          <w:szCs w:val="24"/>
          <w:lang w:val="ro-RO"/>
        </w:rPr>
        <w:t>sau</w:t>
      </w:r>
      <w:r w:rsidRPr="00D30A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C</w:t>
      </w:r>
      <w:r w:rsidR="00B40A7C" w:rsidRPr="00D30A5D">
        <w:rPr>
          <w:rFonts w:ascii="Times New Roman" w:hAnsi="Times New Roman" w:cs="Times New Roman"/>
          <w:b/>
          <w:sz w:val="24"/>
          <w:szCs w:val="24"/>
          <w:lang w:val="ro-RO"/>
        </w:rPr>
        <w:t>uproxat</w:t>
      </w:r>
      <w:r w:rsidRPr="00D30A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F</w:t>
      </w:r>
      <w:r w:rsidR="00B40A7C" w:rsidRPr="00D30A5D">
        <w:rPr>
          <w:rFonts w:ascii="Times New Roman" w:hAnsi="Times New Roman" w:cs="Times New Roman"/>
          <w:b/>
          <w:sz w:val="24"/>
          <w:szCs w:val="24"/>
          <w:lang w:val="ro-RO"/>
        </w:rPr>
        <w:t>lowable</w:t>
      </w:r>
      <w:r w:rsidR="004A547E" w:rsidRPr="00D30A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(K</w:t>
      </w:r>
      <w:r w:rsidR="00B40A7C" w:rsidRPr="00D30A5D">
        <w:rPr>
          <w:rFonts w:ascii="Times New Roman" w:hAnsi="Times New Roman" w:cs="Times New Roman"/>
          <w:b/>
          <w:sz w:val="24"/>
          <w:szCs w:val="24"/>
          <w:lang w:val="ro-RO"/>
        </w:rPr>
        <w:t>upferol</w:t>
      </w:r>
      <w:r w:rsidR="004A547E" w:rsidRPr="00D30A5D">
        <w:rPr>
          <w:rFonts w:ascii="Times New Roman" w:hAnsi="Times New Roman" w:cs="Times New Roman"/>
          <w:b/>
          <w:sz w:val="24"/>
          <w:szCs w:val="24"/>
          <w:lang w:val="ro-RO"/>
        </w:rPr>
        <w:t>)</w:t>
      </w:r>
      <w:r w:rsidR="00B40A7C" w:rsidRPr="00D30A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7F47A9" w:rsidRPr="00D30A5D">
        <w:rPr>
          <w:rFonts w:ascii="Times New Roman" w:hAnsi="Times New Roman" w:cs="Times New Roman"/>
          <w:bCs/>
          <w:sz w:val="24"/>
          <w:szCs w:val="24"/>
          <w:lang w:val="ro-RO"/>
        </w:rPr>
        <w:t>(cupru – 190 g/kg)</w:t>
      </w:r>
      <w:r w:rsidR="00B40A7C" w:rsidRPr="00D30A5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D30A5D">
        <w:rPr>
          <w:rFonts w:ascii="Times New Roman" w:hAnsi="Times New Roman" w:cs="Times New Roman"/>
          <w:b/>
          <w:sz w:val="24"/>
          <w:szCs w:val="24"/>
          <w:lang w:val="ro-RO"/>
        </w:rPr>
        <w:t>- 0,35%</w:t>
      </w:r>
      <w:r w:rsidR="00B40A7C" w:rsidRPr="00D30A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762414" w:rsidRPr="00D30A5D">
        <w:rPr>
          <w:rFonts w:ascii="Times New Roman" w:hAnsi="Times New Roman" w:cs="Times New Roman"/>
          <w:sz w:val="24"/>
          <w:szCs w:val="24"/>
          <w:lang w:val="ro-RO"/>
        </w:rPr>
        <w:t xml:space="preserve">(3,5 l/ha </w:t>
      </w:r>
      <w:r w:rsidR="00B40A7C" w:rsidRPr="00D30A5D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4A547E" w:rsidRPr="00D30A5D">
        <w:rPr>
          <w:rFonts w:ascii="Times New Roman" w:hAnsi="Times New Roman" w:cs="Times New Roman"/>
          <w:sz w:val="24"/>
          <w:szCs w:val="24"/>
          <w:lang w:val="ro-RO"/>
        </w:rPr>
        <w:t>1000 l ap</w:t>
      </w:r>
      <w:r w:rsidR="00B40A7C" w:rsidRPr="00D30A5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4A547E" w:rsidRPr="00D30A5D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B40A7C" w:rsidRPr="00D30A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30A5D">
        <w:rPr>
          <w:rFonts w:ascii="Times New Roman" w:hAnsi="Times New Roman" w:cs="Times New Roman"/>
          <w:sz w:val="24"/>
          <w:szCs w:val="24"/>
          <w:lang w:val="ro-RO"/>
        </w:rPr>
        <w:t>sau</w:t>
      </w:r>
      <w:r w:rsidRPr="00D30A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Z</w:t>
      </w:r>
      <w:r w:rsidR="00B40A7C" w:rsidRPr="00D30A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eamă </w:t>
      </w:r>
      <w:r w:rsidRPr="00D30A5D">
        <w:rPr>
          <w:rFonts w:ascii="Times New Roman" w:hAnsi="Times New Roman" w:cs="Times New Roman"/>
          <w:b/>
          <w:sz w:val="24"/>
          <w:szCs w:val="24"/>
          <w:lang w:val="ro-RO"/>
        </w:rPr>
        <w:t>B</w:t>
      </w:r>
      <w:r w:rsidR="00B40A7C" w:rsidRPr="00D30A5D">
        <w:rPr>
          <w:rFonts w:ascii="Times New Roman" w:hAnsi="Times New Roman" w:cs="Times New Roman"/>
          <w:b/>
          <w:sz w:val="24"/>
          <w:szCs w:val="24"/>
          <w:lang w:val="ro-RO"/>
        </w:rPr>
        <w:t>ordeleză</w:t>
      </w:r>
      <w:r w:rsidRPr="00D30A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T</w:t>
      </w:r>
      <w:r w:rsidR="00B40A7C" w:rsidRPr="00D30A5D">
        <w:rPr>
          <w:rFonts w:ascii="Times New Roman" w:hAnsi="Times New Roman" w:cs="Times New Roman"/>
          <w:b/>
          <w:sz w:val="24"/>
          <w:szCs w:val="24"/>
          <w:lang w:val="ro-RO"/>
        </w:rPr>
        <w:t>ip</w:t>
      </w:r>
      <w:r w:rsidRPr="00D30A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,,MIF''</w:t>
      </w:r>
      <w:r w:rsidR="00B40A7C" w:rsidRPr="00D30A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D30A5D">
        <w:rPr>
          <w:rFonts w:ascii="Times New Roman" w:hAnsi="Times New Roman" w:cs="Times New Roman"/>
          <w:b/>
          <w:sz w:val="24"/>
          <w:szCs w:val="24"/>
          <w:lang w:val="ro-RO"/>
        </w:rPr>
        <w:t>(Z</w:t>
      </w:r>
      <w:r w:rsidR="00B40A7C" w:rsidRPr="00D30A5D">
        <w:rPr>
          <w:rFonts w:ascii="Times New Roman" w:hAnsi="Times New Roman" w:cs="Times New Roman"/>
          <w:b/>
          <w:sz w:val="24"/>
          <w:szCs w:val="24"/>
          <w:lang w:val="ro-RO"/>
        </w:rPr>
        <w:t>eamă bordeleză Wales</w:t>
      </w:r>
      <w:r w:rsidRPr="00D30A5D">
        <w:rPr>
          <w:rFonts w:ascii="Times New Roman" w:hAnsi="Times New Roman" w:cs="Times New Roman"/>
          <w:b/>
          <w:sz w:val="24"/>
          <w:szCs w:val="24"/>
          <w:lang w:val="ro-RO"/>
        </w:rPr>
        <w:t>)</w:t>
      </w:r>
      <w:r w:rsidR="007F47A9" w:rsidRPr="00D30A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</w:t>
      </w:r>
      <w:r w:rsidR="00454189" w:rsidRPr="00D30A5D">
        <w:rPr>
          <w:sz w:val="24"/>
          <w:szCs w:val="24"/>
          <w:lang w:val="ro-RO"/>
        </w:rPr>
        <w:t>c</w:t>
      </w:r>
      <w:r w:rsidR="007F47A9" w:rsidRPr="00D30A5D">
        <w:rPr>
          <w:sz w:val="24"/>
          <w:szCs w:val="24"/>
          <w:lang w:val="ro-RO"/>
        </w:rPr>
        <w:t>upru din amestec Bordeaux</w:t>
      </w:r>
      <w:r w:rsidR="00B40A7C" w:rsidRPr="00D30A5D">
        <w:rPr>
          <w:sz w:val="24"/>
          <w:szCs w:val="24"/>
          <w:lang w:val="ro-RO"/>
        </w:rPr>
        <w:t xml:space="preserve"> </w:t>
      </w:r>
      <w:r w:rsidR="007F47A9" w:rsidRPr="00D30A5D">
        <w:rPr>
          <w:sz w:val="24"/>
          <w:szCs w:val="24"/>
          <w:lang w:val="ro-RO"/>
        </w:rPr>
        <w:t>- 200 g/kg)</w:t>
      </w:r>
      <w:r w:rsidRPr="00D30A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- </w:t>
      </w:r>
      <w:r w:rsidR="00762414" w:rsidRPr="00D30A5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7,5 kg/ha</w:t>
      </w:r>
      <w:r w:rsidR="00725E5C" w:rsidRPr="00D30A5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o-RO"/>
        </w:rPr>
        <w:t>(măr)</w:t>
      </w:r>
      <w:r w:rsidR="008E73A3" w:rsidRPr="00D30A5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sau </w:t>
      </w:r>
    </w:p>
    <w:p w14:paraId="3923BE7E" w14:textId="68FD1540" w:rsidR="00146BC6" w:rsidRPr="00CA10E0" w:rsidRDefault="008E73A3" w:rsidP="00146BC6">
      <w:pPr>
        <w:pStyle w:val="Frspaiere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D30A5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o-RO"/>
        </w:rPr>
        <w:t>B</w:t>
      </w:r>
      <w:r w:rsidR="007842F0" w:rsidRPr="00D30A5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o-RO"/>
        </w:rPr>
        <w:t>ouille</w:t>
      </w:r>
      <w:proofErr w:type="spellEnd"/>
      <w:r w:rsidRPr="00D30A5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D30A5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o-RO"/>
        </w:rPr>
        <w:t>B</w:t>
      </w:r>
      <w:r w:rsidR="007842F0" w:rsidRPr="00D30A5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o-RO"/>
        </w:rPr>
        <w:t>ordelaise</w:t>
      </w:r>
      <w:proofErr w:type="spellEnd"/>
      <w:r w:rsidRPr="00D30A5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o-RO"/>
        </w:rPr>
        <w:t xml:space="preserve"> WDG (BORDOMIX)</w:t>
      </w:r>
      <w:r w:rsidR="007842F0" w:rsidRPr="00D30A5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o-RO"/>
        </w:rPr>
        <w:t xml:space="preserve"> </w:t>
      </w:r>
      <w:r w:rsidR="00A862C2" w:rsidRPr="00D30A5D">
        <w:rPr>
          <w:rFonts w:ascii="Times New Roman" w:hAnsi="Times New Roman" w:cs="Times New Roman"/>
          <w:b/>
          <w:sz w:val="24"/>
          <w:szCs w:val="24"/>
          <w:lang w:val="ro-RO"/>
        </w:rPr>
        <w:t>(</w:t>
      </w:r>
      <w:proofErr w:type="spellStart"/>
      <w:r w:rsidR="00A862C2" w:rsidRPr="00D30A5D">
        <w:rPr>
          <w:sz w:val="24"/>
          <w:szCs w:val="24"/>
        </w:rPr>
        <w:t>Cupru</w:t>
      </w:r>
      <w:proofErr w:type="spellEnd"/>
      <w:r w:rsidR="00A862C2" w:rsidRPr="00D30A5D">
        <w:rPr>
          <w:sz w:val="24"/>
          <w:szCs w:val="24"/>
        </w:rPr>
        <w:t xml:space="preserve"> din </w:t>
      </w:r>
      <w:proofErr w:type="spellStart"/>
      <w:r w:rsidR="00A862C2" w:rsidRPr="00D30A5D">
        <w:rPr>
          <w:sz w:val="24"/>
          <w:szCs w:val="24"/>
        </w:rPr>
        <w:t>amestec</w:t>
      </w:r>
      <w:proofErr w:type="spellEnd"/>
      <w:r w:rsidR="00A862C2" w:rsidRPr="00D30A5D">
        <w:rPr>
          <w:sz w:val="24"/>
          <w:szCs w:val="24"/>
        </w:rPr>
        <w:t xml:space="preserve"> Bordeaux- 200 g/kg)</w:t>
      </w:r>
      <w:r w:rsidRPr="00D30A5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o-RO"/>
        </w:rPr>
        <w:t xml:space="preserve"> - 7,5 kg/ha</w:t>
      </w:r>
      <w:r w:rsidR="00146BC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o-RO"/>
        </w:rPr>
        <w:t xml:space="preserve">, </w:t>
      </w:r>
      <w:r w:rsidR="00146BC6" w:rsidRPr="00CA10E0">
        <w:rPr>
          <w:rFonts w:ascii="Times New Roman" w:hAnsi="Times New Roman" w:cs="Times New Roman"/>
          <w:sz w:val="24"/>
          <w:szCs w:val="24"/>
          <w:lang w:val="ro-RO"/>
        </w:rPr>
        <w:t xml:space="preserve">sau </w:t>
      </w:r>
      <w:r w:rsidR="00146BC6" w:rsidRPr="00CA10E0">
        <w:rPr>
          <w:rFonts w:ascii="Times New Roman" w:hAnsi="Times New Roman" w:cs="Times New Roman"/>
          <w:sz w:val="24"/>
          <w:szCs w:val="24"/>
          <w:lang w:val="pt-BR"/>
        </w:rPr>
        <w:t>alte produse pentru protecți</w:t>
      </w:r>
      <w:r w:rsidR="00146BC6">
        <w:rPr>
          <w:rFonts w:ascii="Times New Roman" w:hAnsi="Times New Roman" w:cs="Times New Roman"/>
          <w:sz w:val="24"/>
          <w:szCs w:val="24"/>
          <w:lang w:val="pt-BR"/>
        </w:rPr>
        <w:t xml:space="preserve">e a </w:t>
      </w:r>
      <w:r w:rsidR="00146BC6" w:rsidRPr="00CA10E0">
        <w:rPr>
          <w:rFonts w:ascii="Times New Roman" w:hAnsi="Times New Roman" w:cs="Times New Roman"/>
          <w:sz w:val="24"/>
          <w:szCs w:val="24"/>
          <w:lang w:val="pt-BR"/>
        </w:rPr>
        <w:t>plantelor omologate pentru a fi utilizate pe teritoriul României</w:t>
      </w:r>
      <w:r w:rsidR="00146BC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146BC6" w:rsidRPr="00CA10E0">
        <w:rPr>
          <w:rFonts w:ascii="Times New Roman" w:hAnsi="Times New Roman" w:cs="Times New Roman"/>
          <w:sz w:val="24"/>
          <w:szCs w:val="24"/>
        </w:rPr>
        <w:t>recomandate</w:t>
      </w:r>
      <w:proofErr w:type="spellEnd"/>
      <w:r w:rsidR="00146BC6" w:rsidRPr="00CA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BC6" w:rsidRPr="00CA10E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46BC6" w:rsidRPr="00CA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BC6" w:rsidRPr="00CA10E0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="00146BC6" w:rsidRPr="00CA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BC6" w:rsidRPr="00CA10E0">
        <w:rPr>
          <w:rFonts w:ascii="Times New Roman" w:hAnsi="Times New Roman" w:cs="Times New Roman"/>
          <w:sz w:val="24"/>
          <w:szCs w:val="24"/>
        </w:rPr>
        <w:t>oficială</w:t>
      </w:r>
      <w:proofErr w:type="spellEnd"/>
      <w:r w:rsidR="00146BC6" w:rsidRPr="00CA10E0">
        <w:rPr>
          <w:rFonts w:ascii="Times New Roman" w:hAnsi="Times New Roman" w:cs="Times New Roman"/>
          <w:sz w:val="24"/>
          <w:szCs w:val="24"/>
        </w:rPr>
        <w:t xml:space="preserve"> PEST- EXPERT- </w:t>
      </w:r>
      <w:hyperlink r:id="rId9" w:history="1">
        <w:r w:rsidR="00146BC6" w:rsidRPr="00CA10E0">
          <w:rPr>
            <w:rStyle w:val="Hyperlink"/>
            <w:rFonts w:ascii="Times New Roman" w:hAnsi="Times New Roman" w:cs="Times New Roman"/>
            <w:sz w:val="24"/>
            <w:szCs w:val="24"/>
          </w:rPr>
          <w:t>https://aloe.anfdf.ro</w:t>
        </w:r>
      </w:hyperlink>
      <w:r w:rsidR="00146BC6">
        <w:t xml:space="preserve"> </w:t>
      </w:r>
      <w:r w:rsidR="00146BC6" w:rsidRPr="00CA10E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46BC6" w:rsidRPr="00CA10E0">
        <w:rPr>
          <w:rFonts w:ascii="Times New Roman" w:hAnsi="Times New Roman" w:cs="Times New Roman"/>
          <w:sz w:val="24"/>
          <w:szCs w:val="24"/>
        </w:rPr>
        <w:t>utilizator</w:t>
      </w:r>
      <w:proofErr w:type="spellEnd"/>
      <w:r w:rsidR="00146BC6" w:rsidRPr="00CA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BC6" w:rsidRPr="00CA10E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146BC6" w:rsidRPr="00CA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BC6" w:rsidRPr="00CA10E0">
        <w:rPr>
          <w:rFonts w:ascii="Times New Roman" w:hAnsi="Times New Roman" w:cs="Times New Roman"/>
          <w:sz w:val="24"/>
          <w:szCs w:val="24"/>
        </w:rPr>
        <w:t>parolă</w:t>
      </w:r>
      <w:proofErr w:type="spellEnd"/>
      <w:r w:rsidR="00146BC6" w:rsidRPr="00CA10E0">
        <w:rPr>
          <w:rFonts w:ascii="Times New Roman" w:hAnsi="Times New Roman" w:cs="Times New Roman"/>
          <w:sz w:val="24"/>
          <w:szCs w:val="24"/>
        </w:rPr>
        <w:t>:</w:t>
      </w:r>
      <w:r w:rsidR="00146BC6">
        <w:rPr>
          <w:rFonts w:ascii="Times New Roman" w:hAnsi="Times New Roman" w:cs="Times New Roman"/>
          <w:sz w:val="24"/>
          <w:szCs w:val="24"/>
        </w:rPr>
        <w:t xml:space="preserve"> </w:t>
      </w:r>
      <w:r w:rsidR="00146BC6" w:rsidRPr="00CA10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guest</w:t>
      </w:r>
      <w:r w:rsidR="00146BC6" w:rsidRPr="00CA10E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46BC6" w:rsidRPr="00CA10E0">
        <w:rPr>
          <w:rFonts w:ascii="Times New Roman" w:hAnsi="Times New Roman" w:cs="Times New Roman"/>
          <w:sz w:val="24"/>
          <w:szCs w:val="24"/>
        </w:rPr>
        <w:t xml:space="preserve">. Link-ul </w:t>
      </w:r>
      <w:proofErr w:type="spellStart"/>
      <w:r w:rsidR="00146BC6" w:rsidRPr="00CA10E0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146BC6" w:rsidRPr="00CA10E0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146BC6" w:rsidRPr="00CA10E0">
        <w:rPr>
          <w:rFonts w:ascii="Times New Roman" w:hAnsi="Times New Roman" w:cs="Times New Roman"/>
          <w:sz w:val="24"/>
          <w:szCs w:val="24"/>
        </w:rPr>
        <w:t>accesat</w:t>
      </w:r>
      <w:proofErr w:type="spellEnd"/>
      <w:r w:rsidR="00146BC6" w:rsidRPr="00CA10E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146BC6" w:rsidRPr="00CA10E0">
        <w:rPr>
          <w:rFonts w:ascii="Times New Roman" w:hAnsi="Times New Roman" w:cs="Times New Roman"/>
          <w:sz w:val="24"/>
          <w:szCs w:val="24"/>
        </w:rPr>
        <w:t>aplicația</w:t>
      </w:r>
      <w:proofErr w:type="spellEnd"/>
      <w:r w:rsidR="00146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BC6" w:rsidRPr="00CA10E0">
        <w:rPr>
          <w:rFonts w:ascii="Times New Roman" w:hAnsi="Times New Roman" w:cs="Times New Roman"/>
          <w:sz w:val="24"/>
          <w:szCs w:val="24"/>
        </w:rPr>
        <w:t>Mozila</w:t>
      </w:r>
      <w:proofErr w:type="spellEnd"/>
      <w:r w:rsidR="00146BC6">
        <w:rPr>
          <w:rFonts w:ascii="Times New Roman" w:hAnsi="Times New Roman" w:cs="Times New Roman"/>
          <w:sz w:val="24"/>
          <w:szCs w:val="24"/>
        </w:rPr>
        <w:t xml:space="preserve"> </w:t>
      </w:r>
      <w:r w:rsidR="00146BC6" w:rsidRPr="00CA10E0">
        <w:rPr>
          <w:rFonts w:ascii="Times New Roman" w:hAnsi="Times New Roman" w:cs="Times New Roman"/>
          <w:sz w:val="24"/>
          <w:szCs w:val="24"/>
        </w:rPr>
        <w:t>/</w:t>
      </w:r>
      <w:r w:rsidR="00146BC6">
        <w:rPr>
          <w:rFonts w:ascii="Times New Roman" w:hAnsi="Times New Roman" w:cs="Times New Roman"/>
          <w:sz w:val="24"/>
          <w:szCs w:val="24"/>
        </w:rPr>
        <w:t xml:space="preserve"> </w:t>
      </w:r>
      <w:r w:rsidR="00146BC6" w:rsidRPr="00CA10E0">
        <w:rPr>
          <w:rFonts w:ascii="Times New Roman" w:hAnsi="Times New Roman" w:cs="Times New Roman"/>
          <w:b/>
          <w:bCs/>
          <w:sz w:val="24"/>
          <w:szCs w:val="24"/>
        </w:rPr>
        <w:t>firefox–portable-45-0.exe</w:t>
      </w:r>
      <w:r w:rsidR="00146B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6BC6" w:rsidRPr="00CA10E0">
        <w:rPr>
          <w:rFonts w:ascii="Times New Roman" w:hAnsi="Times New Roman" w:cs="Times New Roman"/>
          <w:sz w:val="24"/>
          <w:szCs w:val="24"/>
        </w:rPr>
        <w:t>-</w:t>
      </w:r>
      <w:r w:rsidR="00146BC6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146BC6" w:rsidRPr="000534FC">
          <w:rPr>
            <w:rStyle w:val="Hyperlink"/>
            <w:rFonts w:ascii="Times New Roman" w:hAnsi="Times New Roman" w:cs="Times New Roman"/>
            <w:sz w:val="24"/>
            <w:szCs w:val="24"/>
          </w:rPr>
          <w:t>http://www.anfof.ro/index/pestexpert.html</w:t>
        </w:r>
      </w:hyperlink>
      <w:r w:rsidR="00146BC6" w:rsidRPr="00CA10E0">
        <w:rPr>
          <w:rFonts w:ascii="Times New Roman" w:hAnsi="Times New Roman" w:cs="Times New Roman"/>
          <w:sz w:val="24"/>
          <w:szCs w:val="24"/>
        </w:rPr>
        <w:t>.</w:t>
      </w:r>
    </w:p>
    <w:p w14:paraId="5B43BECA" w14:textId="25771122" w:rsidR="000402E6" w:rsidRDefault="000402E6" w:rsidP="00882D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ro-RO"/>
        </w:rPr>
      </w:pPr>
      <w:r w:rsidRPr="00D30A5D">
        <w:rPr>
          <w:rFonts w:ascii="Times New Roman" w:eastAsiaTheme="minorHAnsi" w:hAnsi="Times New Roman" w:cs="Times New Roman"/>
          <w:color w:val="000000"/>
          <w:sz w:val="24"/>
          <w:szCs w:val="24"/>
          <w:lang w:val="ro-RO"/>
        </w:rPr>
        <w:t>Utilizarea alternativă a produselor de protecți</w:t>
      </w:r>
      <w:r w:rsidR="007842F0" w:rsidRPr="00D30A5D">
        <w:rPr>
          <w:rFonts w:ascii="Times New Roman" w:eastAsiaTheme="minorHAnsi" w:hAnsi="Times New Roman" w:cs="Times New Roman"/>
          <w:color w:val="000000"/>
          <w:sz w:val="24"/>
          <w:szCs w:val="24"/>
          <w:lang w:val="ro-RO"/>
        </w:rPr>
        <w:t>e a</w:t>
      </w:r>
      <w:r w:rsidRPr="00D30A5D">
        <w:rPr>
          <w:rFonts w:ascii="Times New Roman" w:eastAsiaTheme="minorHAnsi" w:hAnsi="Times New Roman" w:cs="Times New Roman"/>
          <w:color w:val="000000"/>
          <w:sz w:val="24"/>
          <w:szCs w:val="24"/>
          <w:lang w:val="ro-RO"/>
        </w:rPr>
        <w:t xml:space="preserve"> plantelor</w:t>
      </w:r>
      <w:r w:rsidR="00211705" w:rsidRPr="00D30A5D">
        <w:rPr>
          <w:rFonts w:ascii="Times New Roman" w:eastAsiaTheme="minorHAnsi" w:hAnsi="Times New Roman" w:cs="Times New Roman"/>
          <w:color w:val="000000"/>
          <w:sz w:val="24"/>
          <w:szCs w:val="24"/>
          <w:lang w:val="ro-RO"/>
        </w:rPr>
        <w:t xml:space="preserve"> (ppp) pentru</w:t>
      </w:r>
      <w:r w:rsidRPr="00D30A5D">
        <w:rPr>
          <w:rFonts w:ascii="Times New Roman" w:eastAsiaTheme="minorHAnsi" w:hAnsi="Times New Roman" w:cs="Times New Roman"/>
          <w:color w:val="000000"/>
          <w:sz w:val="24"/>
          <w:szCs w:val="24"/>
          <w:lang w:val="ro-RO"/>
        </w:rPr>
        <w:t xml:space="preserve"> eficien</w:t>
      </w:r>
      <w:r w:rsidR="00211705" w:rsidRPr="00D30A5D">
        <w:rPr>
          <w:rFonts w:ascii="Times New Roman" w:eastAsiaTheme="minorHAnsi" w:hAnsi="Times New Roman" w:cs="Times New Roman"/>
          <w:color w:val="000000"/>
          <w:sz w:val="24"/>
          <w:szCs w:val="24"/>
          <w:lang w:val="ro-RO"/>
        </w:rPr>
        <w:t xml:space="preserve">tizarea </w:t>
      </w:r>
      <w:r w:rsidRPr="00D30A5D">
        <w:rPr>
          <w:rFonts w:ascii="Times New Roman" w:eastAsiaTheme="minorHAnsi" w:hAnsi="Times New Roman" w:cs="Times New Roman"/>
          <w:color w:val="000000"/>
          <w:sz w:val="24"/>
          <w:szCs w:val="24"/>
          <w:lang w:val="ro-RO"/>
        </w:rPr>
        <w:t>tratamentelor efectuate.</w:t>
      </w:r>
    </w:p>
    <w:p w14:paraId="7FD4F4F9" w14:textId="32E5A035" w:rsidR="00B06C89" w:rsidRPr="00B06C89" w:rsidRDefault="00B06C89" w:rsidP="00D30A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ro-RO"/>
        </w:rPr>
      </w:pPr>
      <w:r w:rsidRPr="00B06C89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ro-RO"/>
        </w:rPr>
        <w:t>Alte recomandări:</w:t>
      </w:r>
    </w:p>
    <w:p w14:paraId="2D4CF204" w14:textId="77777777" w:rsidR="00B06C89" w:rsidRPr="00302720" w:rsidRDefault="00B06C89" w:rsidP="00B06C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2720">
        <w:rPr>
          <w:rFonts w:ascii="Times New Roman" w:hAnsi="Times New Roman" w:cs="Times New Roman"/>
          <w:sz w:val="24"/>
          <w:szCs w:val="24"/>
          <w:lang w:val="ro-RO"/>
        </w:rPr>
        <w:t>Luați măsurile ce se impun pentru protecția mediului înconjurător!</w:t>
      </w:r>
    </w:p>
    <w:p w14:paraId="7BED58DF" w14:textId="77777777" w:rsidR="00B06C89" w:rsidRPr="00302720" w:rsidRDefault="00B06C89" w:rsidP="00B06C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Respectați cu strictețe normele de lucru cu produse pentru protecție a plantelor, normele de protecție și securitatea muncii, de protecție a albinelor și a animalelor în conformitate cu: Legea nr. 383/ 2013 a apiculturii cu modificările și completările ulterioare și Ordinul nr. 127/ 1991 al ACA din România, Ordinul comun nr. 45/ 1991 al Ministerului Agriculturii și Alimentației, 15b/ 3404/ 1991 al Dep. Pentru Administrație Locală și 1786/TB/ 1991 al Ministerului Transporturilor precum și cu Protocolul de colaborare nr. 328432/ 2015,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ncheiat cu ROMAPIS (privind implementarea legislației, în vederea protecției familiilor de albine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>mpotriva intoxicației cu produse pentru protecți</w:t>
      </w:r>
      <w:r>
        <w:rPr>
          <w:rFonts w:ascii="Times New Roman" w:hAnsi="Times New Roman" w:cs="Times New Roman"/>
          <w:sz w:val="24"/>
          <w:szCs w:val="24"/>
          <w:lang w:val="ro-RO"/>
        </w:rPr>
        <w:t>e a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 plantelor);</w:t>
      </w:r>
    </w:p>
    <w:p w14:paraId="5B774B0C" w14:textId="77777777" w:rsidR="00B06C89" w:rsidRPr="00302720" w:rsidRDefault="00B06C89" w:rsidP="00B06C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2720">
        <w:rPr>
          <w:rFonts w:ascii="Times New Roman" w:hAnsi="Times New Roman" w:cs="Times New Roman"/>
          <w:sz w:val="24"/>
          <w:szCs w:val="24"/>
          <w:lang w:val="ro-RO"/>
        </w:rPr>
        <w:t>Respectați prevederile Ordinului Ministrului Agriculturii și Dezvoltării Rurale nr. 297/ 2017 privind aprobarea Codului de bune practici pentru utilizarea în siguranță a produselor de protecție a plantelor.</w:t>
      </w:r>
    </w:p>
    <w:p w14:paraId="0A87007A" w14:textId="77777777" w:rsidR="00B06C89" w:rsidRPr="00302720" w:rsidRDefault="00B06C89" w:rsidP="00B06C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Respectați obligațiile ce vă revin conform Ordinul Ministrului Agriculturii și Dezvoltării Rurale, al Ministrului Mediului, Apelor și Pădurilor și al </w:t>
      </w: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reședintelui Autorității Naționale Sanitare Veterinare și pentru Siguramța Alimentelor nr. 352/ 636/ 54/ 2015 pentru aprobarea normelor privind ecocondiționalitatea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>n cadrul schemelor și măsurilor de sprijin pentru fermieri</w:t>
      </w: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 România, cu modificările ulterioare. </w:t>
      </w:r>
    </w:p>
    <w:p w14:paraId="7829F81F" w14:textId="77777777" w:rsidR="00B06C89" w:rsidRPr="00302720" w:rsidRDefault="00B06C89" w:rsidP="00B06C8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pt-BR"/>
        </w:rPr>
      </w:pPr>
      <w:r w:rsidRPr="00302720">
        <w:rPr>
          <w:rFonts w:ascii="Times New Roman" w:hAnsi="Times New Roman" w:cs="Times New Roman"/>
          <w:sz w:val="24"/>
          <w:szCs w:val="24"/>
          <w:lang w:val="pt-BR"/>
        </w:rPr>
        <w:t xml:space="preserve">Conform Reg. (CE) Nr. 1107/2009 al Parlamentului European și al Consiliului din 21.oct.2009, privind introducerea pe piață a produselor fitosanitare, fiecare utilizator a produselor de protecție a plantelor trebuie să păstreze cel puțin 3 ani evidența contabilă a produselor de protecție a plantelor depozitate și utilizate, precum și evidența efectuării fiecarui tratament prin completare într-un registru după modelul de mai jos: </w:t>
      </w:r>
    </w:p>
    <w:p w14:paraId="7D20B91D" w14:textId="77777777" w:rsidR="00B06C89" w:rsidRPr="00302720" w:rsidRDefault="00B06C89" w:rsidP="00B06C8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pt-BR"/>
        </w:rPr>
      </w:pPr>
      <w:r w:rsidRPr="00302720">
        <w:rPr>
          <w:rFonts w:ascii="Times New Roman" w:hAnsi="Times New Roman" w:cs="Times New Roman"/>
          <w:sz w:val="24"/>
          <w:szCs w:val="24"/>
          <w:lang w:val="pt-BR"/>
        </w:rPr>
        <w:t>Nume și prenume fermier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02720">
        <w:rPr>
          <w:rFonts w:ascii="Times New Roman" w:hAnsi="Times New Roman" w:cs="Times New Roman"/>
          <w:sz w:val="24"/>
          <w:szCs w:val="24"/>
          <w:lang w:val="pt-BR"/>
        </w:rPr>
        <w:t xml:space="preserve">/ societate comercială…... </w:t>
      </w:r>
    </w:p>
    <w:p w14:paraId="6B6A977A" w14:textId="77777777" w:rsidR="00B06C89" w:rsidRPr="00302720" w:rsidRDefault="00B06C89" w:rsidP="00B06C8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pt-BR"/>
        </w:rPr>
      </w:pPr>
      <w:r w:rsidRPr="00302720">
        <w:rPr>
          <w:rFonts w:ascii="Times New Roman" w:hAnsi="Times New Roman" w:cs="Times New Roman"/>
          <w:sz w:val="24"/>
          <w:szCs w:val="24"/>
          <w:lang w:val="pt-BR"/>
        </w:rPr>
        <w:t>Domiciliu fermier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02720">
        <w:rPr>
          <w:rFonts w:ascii="Times New Roman" w:hAnsi="Times New Roman" w:cs="Times New Roman"/>
          <w:sz w:val="24"/>
          <w:szCs w:val="24"/>
          <w:lang w:val="pt-BR"/>
        </w:rPr>
        <w:t xml:space="preserve">/sediul social al societății……. (Comuna, județul) </w:t>
      </w:r>
    </w:p>
    <w:p w14:paraId="73420C97" w14:textId="77777777" w:rsidR="00B06C89" w:rsidRPr="00302720" w:rsidRDefault="00B06C89" w:rsidP="00B06C8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pt-BR"/>
        </w:rPr>
      </w:pPr>
      <w:r w:rsidRPr="00302720">
        <w:rPr>
          <w:rFonts w:ascii="Times New Roman" w:hAnsi="Times New Roman" w:cs="Times New Roman"/>
          <w:sz w:val="24"/>
          <w:szCs w:val="24"/>
          <w:lang w:val="pt-BR"/>
        </w:rPr>
        <w:t>Ferma (nume/număr,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02720">
        <w:rPr>
          <w:rFonts w:ascii="Times New Roman" w:hAnsi="Times New Roman" w:cs="Times New Roman"/>
          <w:sz w:val="24"/>
          <w:szCs w:val="24"/>
          <w:lang w:val="pt-BR"/>
        </w:rPr>
        <w:t xml:space="preserve">adresa)……. </w:t>
      </w:r>
    </w:p>
    <w:p w14:paraId="47EA0500" w14:textId="77777777" w:rsidR="00B06C89" w:rsidRPr="00302720" w:rsidRDefault="00B06C89" w:rsidP="00B06C8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pt-BR"/>
        </w:rPr>
      </w:pPr>
      <w:r w:rsidRPr="00302720">
        <w:rPr>
          <w:rFonts w:ascii="Times New Roman" w:hAnsi="Times New Roman" w:cs="Times New Roman"/>
          <w:sz w:val="24"/>
          <w:szCs w:val="24"/>
          <w:lang w:val="pt-BR"/>
        </w:rPr>
        <w:t>Toate tratamentele cu produse de protecți</w:t>
      </w:r>
      <w:r>
        <w:rPr>
          <w:rFonts w:ascii="Times New Roman" w:hAnsi="Times New Roman" w:cs="Times New Roman"/>
          <w:sz w:val="24"/>
          <w:szCs w:val="24"/>
          <w:lang w:val="pt-BR"/>
        </w:rPr>
        <w:t>e a</w:t>
      </w:r>
      <w:r w:rsidRPr="00302720">
        <w:rPr>
          <w:rFonts w:ascii="Times New Roman" w:hAnsi="Times New Roman" w:cs="Times New Roman"/>
          <w:sz w:val="24"/>
          <w:szCs w:val="24"/>
          <w:lang w:val="pt-BR"/>
        </w:rPr>
        <w:t xml:space="preserve"> plantelor se completează la zi </w:t>
      </w:r>
      <w:r>
        <w:rPr>
          <w:rFonts w:ascii="Times New Roman" w:hAnsi="Times New Roman" w:cs="Times New Roman"/>
          <w:sz w:val="24"/>
          <w:szCs w:val="24"/>
          <w:lang w:val="pt-BR"/>
        </w:rPr>
        <w:t>î</w:t>
      </w:r>
      <w:r w:rsidRPr="00302720">
        <w:rPr>
          <w:rFonts w:ascii="Times New Roman" w:hAnsi="Times New Roman" w:cs="Times New Roman"/>
          <w:sz w:val="24"/>
          <w:szCs w:val="24"/>
          <w:lang w:val="pt-BR"/>
        </w:rPr>
        <w:t xml:space="preserve">n: </w:t>
      </w:r>
    </w:p>
    <w:p w14:paraId="77CEAC7C" w14:textId="77777777" w:rsidR="00B06C89" w:rsidRPr="00302720" w:rsidRDefault="00B06C89" w:rsidP="00B06C8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pt-BR"/>
        </w:rPr>
      </w:pPr>
      <w:r w:rsidRPr="00302720">
        <w:rPr>
          <w:rFonts w:ascii="Times New Roman" w:hAnsi="Times New Roman" w:cs="Times New Roman"/>
          <w:sz w:val="24"/>
          <w:szCs w:val="24"/>
          <w:lang w:val="pt-BR"/>
        </w:rPr>
        <w:t>Registrul de evidență a tratamentelor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cu produse de protecție a plantelor</w:t>
      </w:r>
    </w:p>
    <w:tbl>
      <w:tblPr>
        <w:tblStyle w:val="Tabelgril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16"/>
        <w:gridCol w:w="952"/>
        <w:gridCol w:w="794"/>
        <w:gridCol w:w="992"/>
        <w:gridCol w:w="992"/>
        <w:gridCol w:w="765"/>
        <w:gridCol w:w="709"/>
        <w:gridCol w:w="709"/>
        <w:gridCol w:w="850"/>
        <w:gridCol w:w="1134"/>
        <w:gridCol w:w="851"/>
        <w:gridCol w:w="957"/>
      </w:tblGrid>
      <w:tr w:rsidR="00B06C89" w:rsidRPr="00302720" w14:paraId="34CFADFA" w14:textId="77777777" w:rsidTr="00AC7B5A">
        <w:trPr>
          <w:trHeight w:val="265"/>
          <w:jc w:val="center"/>
        </w:trPr>
        <w:tc>
          <w:tcPr>
            <w:tcW w:w="716" w:type="dxa"/>
            <w:vMerge w:val="restart"/>
          </w:tcPr>
          <w:p w14:paraId="4EBC08EE" w14:textId="77777777" w:rsidR="00B06C89" w:rsidRPr="00302720" w:rsidRDefault="00B06C89" w:rsidP="00AC7B5A">
            <w:pPr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Data efectuării trata</w:t>
            </w:r>
          </w:p>
          <w:p w14:paraId="1EAF8448" w14:textId="77777777" w:rsidR="00B06C89" w:rsidRPr="00302720" w:rsidRDefault="00B06C89" w:rsidP="00AC7B5A">
            <w:pPr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mentu</w:t>
            </w:r>
          </w:p>
          <w:p w14:paraId="4E726E42" w14:textId="77777777" w:rsidR="00B06C89" w:rsidRPr="00302720" w:rsidRDefault="00B06C89" w:rsidP="00AC7B5A">
            <w:pPr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lui</w:t>
            </w:r>
            <w:r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(ziua, luna, anul)</w:t>
            </w:r>
          </w:p>
        </w:tc>
        <w:tc>
          <w:tcPr>
            <w:tcW w:w="952" w:type="dxa"/>
            <w:vMerge w:val="restart"/>
          </w:tcPr>
          <w:p w14:paraId="16FCCB59" w14:textId="77777777" w:rsidR="00B06C89" w:rsidRPr="00302720" w:rsidRDefault="00B06C89" w:rsidP="00AC7B5A">
            <w:pPr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Cultura și locul unde este situat terenul</w:t>
            </w:r>
          </w:p>
        </w:tc>
        <w:tc>
          <w:tcPr>
            <w:tcW w:w="794" w:type="dxa"/>
            <w:vMerge w:val="restart"/>
          </w:tcPr>
          <w:p w14:paraId="7B11C1FC" w14:textId="77777777" w:rsidR="00B06C89" w:rsidRPr="00302720" w:rsidRDefault="00B06C89" w:rsidP="00AC7B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hAnsi="Times New Roman" w:cs="Times New Roman"/>
                <w:sz w:val="18"/>
                <w:szCs w:val="18"/>
              </w:rPr>
              <w:t xml:space="preserve">Timpul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(fenofaza) </w:t>
            </w:r>
            <w:r w:rsidRPr="00302720">
              <w:rPr>
                <w:rFonts w:ascii="Times New Roman" w:hAnsi="Times New Roman" w:cs="Times New Roman"/>
                <w:sz w:val="18"/>
                <w:szCs w:val="18"/>
              </w:rPr>
              <w:t>aplică</w:t>
            </w:r>
          </w:p>
          <w:p w14:paraId="734BEAA3" w14:textId="77777777" w:rsidR="00B06C89" w:rsidRPr="00302720" w:rsidRDefault="00B06C89" w:rsidP="00AC7B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hAnsi="Times New Roman" w:cs="Times New Roman"/>
                <w:sz w:val="18"/>
                <w:szCs w:val="18"/>
              </w:rPr>
              <w:t>rii</w:t>
            </w:r>
          </w:p>
        </w:tc>
        <w:tc>
          <w:tcPr>
            <w:tcW w:w="5017" w:type="dxa"/>
            <w:gridSpan w:val="6"/>
          </w:tcPr>
          <w:p w14:paraId="4275666D" w14:textId="77777777" w:rsidR="00B06C89" w:rsidRPr="00302720" w:rsidRDefault="00B06C89" w:rsidP="00AC7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hAnsi="Times New Roman" w:cs="Times New Roman"/>
                <w:sz w:val="18"/>
                <w:szCs w:val="18"/>
              </w:rPr>
              <w:t>Tratamentul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720">
              <w:rPr>
                <w:rFonts w:ascii="Times New Roman" w:hAnsi="Times New Roman" w:cs="Times New Roman"/>
                <w:sz w:val="18"/>
                <w:szCs w:val="18"/>
              </w:rPr>
              <w:t>efectuat</w:t>
            </w:r>
          </w:p>
        </w:tc>
        <w:tc>
          <w:tcPr>
            <w:tcW w:w="1134" w:type="dxa"/>
            <w:vMerge w:val="restart"/>
          </w:tcPr>
          <w:p w14:paraId="2CE73D23" w14:textId="77777777" w:rsidR="00B06C89" w:rsidRPr="00302720" w:rsidRDefault="00B06C89" w:rsidP="00AC7B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Numele persoanei responsa- bile pentru efectuarea tatamentului. </w:t>
            </w:r>
            <w:r w:rsidRPr="00302720">
              <w:rPr>
                <w:rFonts w:ascii="Times New Roman" w:hAnsi="Times New Roman" w:cs="Times New Roman"/>
                <w:sz w:val="18"/>
                <w:szCs w:val="18"/>
              </w:rPr>
              <w:t>Semnătura</w:t>
            </w:r>
          </w:p>
        </w:tc>
        <w:tc>
          <w:tcPr>
            <w:tcW w:w="851" w:type="dxa"/>
            <w:vMerge w:val="restart"/>
          </w:tcPr>
          <w:p w14:paraId="3E2143E1" w14:textId="77777777" w:rsidR="00B06C89" w:rsidRPr="00302720" w:rsidRDefault="00B06C89" w:rsidP="00AC7B5A">
            <w:pPr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Data </w:t>
            </w:r>
            <w:r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î</w:t>
            </w:r>
            <w:r w:rsidRPr="00302720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nceperii recol- tării produ- sului agricol</w:t>
            </w:r>
          </w:p>
        </w:tc>
        <w:tc>
          <w:tcPr>
            <w:tcW w:w="957" w:type="dxa"/>
            <w:vMerge w:val="restart"/>
          </w:tcPr>
          <w:p w14:paraId="1D35D240" w14:textId="77777777" w:rsidR="00B06C89" w:rsidRPr="00302720" w:rsidRDefault="00B06C89" w:rsidP="00AC7B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hAnsi="Times New Roman" w:cs="Times New Roman"/>
                <w:sz w:val="18"/>
                <w:szCs w:val="18"/>
              </w:rPr>
              <w:t>Nr și data doc prin care s-a dat in consum populației</w:t>
            </w:r>
          </w:p>
        </w:tc>
      </w:tr>
      <w:tr w:rsidR="00B06C89" w:rsidRPr="00302720" w14:paraId="66899E2C" w14:textId="77777777" w:rsidTr="00AC7B5A">
        <w:trPr>
          <w:trHeight w:val="265"/>
          <w:jc w:val="center"/>
        </w:trPr>
        <w:tc>
          <w:tcPr>
            <w:tcW w:w="716" w:type="dxa"/>
            <w:vMerge/>
          </w:tcPr>
          <w:p w14:paraId="1E5229A9" w14:textId="77777777" w:rsidR="00B06C89" w:rsidRPr="00302720" w:rsidRDefault="00B06C89" w:rsidP="00AC7B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vMerge/>
          </w:tcPr>
          <w:p w14:paraId="51150A11" w14:textId="77777777" w:rsidR="00B06C89" w:rsidRPr="00302720" w:rsidRDefault="00B06C89" w:rsidP="00AC7B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vMerge/>
          </w:tcPr>
          <w:p w14:paraId="2F300791" w14:textId="77777777" w:rsidR="00B06C89" w:rsidRPr="00302720" w:rsidRDefault="00B06C89" w:rsidP="00AC7B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609F13E6" w14:textId="77777777" w:rsidR="00B06C89" w:rsidRPr="00302720" w:rsidRDefault="00B06C89" w:rsidP="00AC7B5A">
            <w:pPr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Agenti de dăunare combătuți</w:t>
            </w:r>
          </w:p>
          <w:p w14:paraId="51CB50AB" w14:textId="77777777" w:rsidR="00B06C89" w:rsidRPr="00302720" w:rsidRDefault="00B06C89" w:rsidP="00AC7B5A">
            <w:pPr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Boli / dăunători/ buruieni</w:t>
            </w:r>
          </w:p>
        </w:tc>
        <w:tc>
          <w:tcPr>
            <w:tcW w:w="992" w:type="dxa"/>
            <w:vMerge w:val="restart"/>
          </w:tcPr>
          <w:p w14:paraId="7FE2A275" w14:textId="77777777" w:rsidR="00B06C89" w:rsidRPr="00302720" w:rsidRDefault="00B06C89" w:rsidP="00AC7B5A">
            <w:pPr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Denumire produs de protecție a plantelor folosit</w:t>
            </w:r>
          </w:p>
        </w:tc>
        <w:tc>
          <w:tcPr>
            <w:tcW w:w="1474" w:type="dxa"/>
            <w:gridSpan w:val="2"/>
          </w:tcPr>
          <w:p w14:paraId="347F69C0" w14:textId="77777777" w:rsidR="00B06C89" w:rsidRPr="00302720" w:rsidRDefault="00B06C89" w:rsidP="00AC7B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hAnsi="Times New Roman" w:cs="Times New Roman"/>
                <w:sz w:val="18"/>
                <w:szCs w:val="18"/>
              </w:rPr>
              <w:t>Doza :</w:t>
            </w:r>
          </w:p>
        </w:tc>
        <w:tc>
          <w:tcPr>
            <w:tcW w:w="709" w:type="dxa"/>
            <w:vMerge w:val="restart"/>
          </w:tcPr>
          <w:p w14:paraId="1708BF59" w14:textId="77777777" w:rsidR="00B06C89" w:rsidRPr="00302720" w:rsidRDefault="00B06C89" w:rsidP="00AC7B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hAnsi="Times New Roman" w:cs="Times New Roman"/>
                <w:sz w:val="18"/>
                <w:szCs w:val="18"/>
              </w:rPr>
              <w:t>Supra-fața</w:t>
            </w:r>
          </w:p>
          <w:p w14:paraId="45A16F95" w14:textId="77777777" w:rsidR="00B06C89" w:rsidRPr="00302720" w:rsidRDefault="00B06C89" w:rsidP="00AC7B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hAnsi="Times New Roman" w:cs="Times New Roman"/>
                <w:sz w:val="18"/>
                <w:szCs w:val="18"/>
              </w:rPr>
              <w:t>(ha)</w:t>
            </w:r>
          </w:p>
        </w:tc>
        <w:tc>
          <w:tcPr>
            <w:tcW w:w="850" w:type="dxa"/>
            <w:vMerge w:val="restart"/>
          </w:tcPr>
          <w:p w14:paraId="5D426E16" w14:textId="77777777" w:rsidR="00B06C89" w:rsidRPr="00302720" w:rsidRDefault="00B06C89" w:rsidP="00AC7B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hAnsi="Times New Roman" w:cs="Times New Roman"/>
                <w:sz w:val="18"/>
                <w:szCs w:val="18"/>
              </w:rPr>
              <w:t>Cantitățiutilizate</w:t>
            </w:r>
          </w:p>
          <w:p w14:paraId="58861C5B" w14:textId="77777777" w:rsidR="00B06C89" w:rsidRPr="00302720" w:rsidRDefault="00B06C89" w:rsidP="00AC7B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hAnsi="Times New Roman" w:cs="Times New Roman"/>
                <w:sz w:val="18"/>
                <w:szCs w:val="18"/>
              </w:rPr>
              <w:t>(kg/litri)</w:t>
            </w:r>
          </w:p>
        </w:tc>
        <w:tc>
          <w:tcPr>
            <w:tcW w:w="1134" w:type="dxa"/>
            <w:vMerge/>
          </w:tcPr>
          <w:p w14:paraId="2BFAAB26" w14:textId="77777777" w:rsidR="00B06C89" w:rsidRPr="00302720" w:rsidRDefault="00B06C89" w:rsidP="00AC7B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A848D59" w14:textId="77777777" w:rsidR="00B06C89" w:rsidRPr="00302720" w:rsidRDefault="00B06C89" w:rsidP="00AC7B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</w:tcPr>
          <w:p w14:paraId="5A2F602E" w14:textId="77777777" w:rsidR="00B06C89" w:rsidRPr="00302720" w:rsidRDefault="00B06C89" w:rsidP="00AC7B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C89" w:rsidRPr="00302720" w14:paraId="553BFCC7" w14:textId="77777777" w:rsidTr="00AC7B5A">
        <w:trPr>
          <w:trHeight w:val="265"/>
          <w:jc w:val="center"/>
        </w:trPr>
        <w:tc>
          <w:tcPr>
            <w:tcW w:w="716" w:type="dxa"/>
            <w:vMerge/>
          </w:tcPr>
          <w:p w14:paraId="4885F98A" w14:textId="77777777" w:rsidR="00B06C89" w:rsidRPr="00302720" w:rsidRDefault="00B06C89" w:rsidP="00AC7B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vMerge/>
          </w:tcPr>
          <w:p w14:paraId="56C31120" w14:textId="77777777" w:rsidR="00B06C89" w:rsidRPr="00302720" w:rsidRDefault="00B06C89" w:rsidP="00AC7B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vMerge/>
          </w:tcPr>
          <w:p w14:paraId="1474EB58" w14:textId="77777777" w:rsidR="00B06C89" w:rsidRPr="00302720" w:rsidRDefault="00B06C89" w:rsidP="00AC7B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47545F7" w14:textId="77777777" w:rsidR="00B06C89" w:rsidRPr="00302720" w:rsidRDefault="00B06C89" w:rsidP="00AC7B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209FB03" w14:textId="77777777" w:rsidR="00B06C89" w:rsidRPr="00302720" w:rsidRDefault="00B06C89" w:rsidP="00AC7B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</w:tcPr>
          <w:p w14:paraId="53EF533E" w14:textId="77777777" w:rsidR="00B06C89" w:rsidRPr="00302720" w:rsidRDefault="00B06C89" w:rsidP="00AC7B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hAnsi="Times New Roman" w:cs="Times New Roman"/>
                <w:sz w:val="18"/>
                <w:szCs w:val="18"/>
              </w:rPr>
              <w:t>Omolo gată</w:t>
            </w:r>
          </w:p>
        </w:tc>
        <w:tc>
          <w:tcPr>
            <w:tcW w:w="709" w:type="dxa"/>
          </w:tcPr>
          <w:p w14:paraId="1F59515D" w14:textId="77777777" w:rsidR="00B06C89" w:rsidRPr="00302720" w:rsidRDefault="00B06C89" w:rsidP="00AC7B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hAnsi="Times New Roman" w:cs="Times New Roman"/>
                <w:sz w:val="18"/>
                <w:szCs w:val="18"/>
              </w:rPr>
              <w:t>Folosită</w:t>
            </w:r>
          </w:p>
        </w:tc>
        <w:tc>
          <w:tcPr>
            <w:tcW w:w="709" w:type="dxa"/>
            <w:vMerge/>
          </w:tcPr>
          <w:p w14:paraId="40930D1D" w14:textId="77777777" w:rsidR="00B06C89" w:rsidRPr="00302720" w:rsidRDefault="00B06C89" w:rsidP="00AC7B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646AF171" w14:textId="77777777" w:rsidR="00B06C89" w:rsidRPr="00302720" w:rsidRDefault="00B06C89" w:rsidP="00AC7B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5BD6912" w14:textId="77777777" w:rsidR="00B06C89" w:rsidRPr="00302720" w:rsidRDefault="00B06C89" w:rsidP="00AC7B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E74BC64" w14:textId="77777777" w:rsidR="00B06C89" w:rsidRPr="00302720" w:rsidRDefault="00B06C89" w:rsidP="00AC7B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</w:tcPr>
          <w:p w14:paraId="5F6C350C" w14:textId="77777777" w:rsidR="00B06C89" w:rsidRPr="00302720" w:rsidRDefault="00B06C89" w:rsidP="00AC7B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95D3BF3" w14:textId="77777777" w:rsidR="00B06C89" w:rsidRPr="00302720" w:rsidRDefault="00B06C89" w:rsidP="00B06C89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  <w:lang w:val="ro-RO"/>
        </w:rPr>
      </w:pPr>
    </w:p>
    <w:p w14:paraId="08D1DB6E" w14:textId="77777777" w:rsidR="00B06C89" w:rsidRPr="00302720" w:rsidRDefault="00B06C89" w:rsidP="00B06C8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Conform Reg. CE nr.1107/2009, art. 67 (1) producătorul agricol numerotează paginile registrului. Pe spatele registrului (pe ultima pagină) se menționează câte pagini conține registrul, purtând semnătura și 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ștampila după caz a fermierului sau administratorului societății. Inspectorii Oficiului Fitosanitar pot sancționa fermierul, conform HG nr. 1230 din 12 decembrie 2012 privind stabilirea unor măsuri pentru aplicarea prevederilor Regulamentului (CE) nr. 1107/2009 al Parlamentului European și al Consiliului din 21 octombrie 2009 privind introducerea pe piață a produselor fitosanitare și de abrogare a Directivelor 79/117/CEE si 91/414/CEE ale Consiliului, art. 3, pct. 1 (i), (1). Constituie contravenții următoarele fapte: i.) nerespectarea de către utilizatorii profesioniști a prevederilor art.67 alin. (1) din Regulamentul (CE) nr. 1107/2009 privind menținerea evidenței pe o perioadă de cel puțin 3 ani a produselor de protecție a plantelor pe care le utilizează (se sancționează cu amendă de la 8.000 lei la 10.000 lei). </w:t>
      </w:r>
    </w:p>
    <w:p w14:paraId="75DBD211" w14:textId="77777777" w:rsidR="00B06C89" w:rsidRPr="00302720" w:rsidRDefault="00B06C89" w:rsidP="00B06C89">
      <w:pPr>
        <w:spacing w:after="0" w:line="240" w:lineRule="auto"/>
        <w:ind w:firstLine="708"/>
        <w:rPr>
          <w:rFonts w:ascii="Times New Roman" w:hAnsi="Times New Roman" w:cs="Times New Roman"/>
          <w:caps/>
          <w:sz w:val="24"/>
          <w:szCs w:val="24"/>
          <w:lang w:val="ro-RO"/>
        </w:rPr>
      </w:pPr>
      <w:r w:rsidRPr="00302720">
        <w:rPr>
          <w:rFonts w:ascii="Times New Roman" w:hAnsi="Times New Roman" w:cs="Times New Roman"/>
          <w:b/>
          <w:bCs/>
          <w:sz w:val="24"/>
          <w:szCs w:val="24"/>
          <w:lang w:val="ro-RO"/>
        </w:rPr>
        <w:t>ÎN ATENȚIA FERMIERILOR !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  Se vor respecta normele de ecocondiționalitate prevăzute în Ordinul nr. 869/2016. Se vor respecta condițiile de depozitare, manipulare și utilizare a produselor de protecție a plantelor în exploatațiile agricole, conform Ghidului de bune practici de utilizare și depozitare a produselor de protecția plantelor, </w:t>
      </w:r>
      <w:hyperlink r:id="rId11" w:history="1">
        <w:r w:rsidRPr="00302720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ro-RO"/>
          </w:rPr>
          <w:t>https://www.anfdf.ro/sanatate/ghid/ghiduri.html</w:t>
        </w:r>
      </w:hyperlink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 elaborate de Autoritatea  Națională Fitosanitară.</w:t>
      </w:r>
    </w:p>
    <w:p w14:paraId="2A79DCB1" w14:textId="77777777" w:rsidR="004A2372" w:rsidRPr="00314AC4" w:rsidRDefault="0013264A" w:rsidP="00D30A5D">
      <w:p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eastAsiaTheme="minorHAnsi" w:hAnsi="Times New Roman" w:cs="Times New Roman"/>
          <w:noProof/>
          <w:color w:val="000000"/>
          <w:lang w:val="ro-RO" w:eastAsia="ro-RO"/>
        </w:rPr>
        <w:drawing>
          <wp:inline distT="0" distB="0" distL="0" distR="0" wp14:anchorId="7EB573CC" wp14:editId="769287D9">
            <wp:extent cx="4688484" cy="1180434"/>
            <wp:effectExtent l="0" t="0" r="0" b="0"/>
            <wp:docPr id="120441397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413970" name="Imagine 120441397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6084" cy="118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2372" w:rsidRPr="00314AC4" w:rsidSect="00D30A5D">
      <w:type w:val="continuous"/>
      <w:pgSz w:w="12240" w:h="15840"/>
      <w:pgMar w:top="284" w:right="397" w:bottom="431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FB7E0C"/>
    <w:multiLevelType w:val="hybridMultilevel"/>
    <w:tmpl w:val="67FA615E"/>
    <w:lvl w:ilvl="0" w:tplc="9322ECAE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2B0254"/>
    <w:multiLevelType w:val="hybridMultilevel"/>
    <w:tmpl w:val="D8E6A0F2"/>
    <w:lvl w:ilvl="0" w:tplc="2AC42CB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933967"/>
    <w:multiLevelType w:val="hybridMultilevel"/>
    <w:tmpl w:val="00680D6C"/>
    <w:lvl w:ilvl="0" w:tplc="CC6A7B84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204E2A"/>
    <w:multiLevelType w:val="hybridMultilevel"/>
    <w:tmpl w:val="306E39DC"/>
    <w:lvl w:ilvl="0" w:tplc="E23EECE8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EE5EB8"/>
    <w:multiLevelType w:val="hybridMultilevel"/>
    <w:tmpl w:val="13C853F6"/>
    <w:lvl w:ilvl="0" w:tplc="CE02CBDA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7723045">
    <w:abstractNumId w:val="0"/>
  </w:num>
  <w:num w:numId="2" w16cid:durableId="1724987812">
    <w:abstractNumId w:val="1"/>
  </w:num>
  <w:num w:numId="3" w16cid:durableId="1831947098">
    <w:abstractNumId w:val="3"/>
  </w:num>
  <w:num w:numId="4" w16cid:durableId="1448699184">
    <w:abstractNumId w:val="2"/>
  </w:num>
  <w:num w:numId="5" w16cid:durableId="811487338">
    <w:abstractNumId w:val="5"/>
  </w:num>
  <w:num w:numId="6" w16cid:durableId="2086413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05A0"/>
    <w:rsid w:val="000402E6"/>
    <w:rsid w:val="00046144"/>
    <w:rsid w:val="000E28DA"/>
    <w:rsid w:val="000F0358"/>
    <w:rsid w:val="00104C81"/>
    <w:rsid w:val="00116EBF"/>
    <w:rsid w:val="0013264A"/>
    <w:rsid w:val="00146419"/>
    <w:rsid w:val="00146BC6"/>
    <w:rsid w:val="001779AD"/>
    <w:rsid w:val="001972EC"/>
    <w:rsid w:val="001B37C4"/>
    <w:rsid w:val="001D47E2"/>
    <w:rsid w:val="00204DDB"/>
    <w:rsid w:val="00211705"/>
    <w:rsid w:val="00213B45"/>
    <w:rsid w:val="00220551"/>
    <w:rsid w:val="00292960"/>
    <w:rsid w:val="003045D0"/>
    <w:rsid w:val="00314AC4"/>
    <w:rsid w:val="00322D2B"/>
    <w:rsid w:val="00325D51"/>
    <w:rsid w:val="003432C9"/>
    <w:rsid w:val="00352AF4"/>
    <w:rsid w:val="003552EE"/>
    <w:rsid w:val="00362E04"/>
    <w:rsid w:val="00376837"/>
    <w:rsid w:val="003859BD"/>
    <w:rsid w:val="003A23BF"/>
    <w:rsid w:val="003B01F4"/>
    <w:rsid w:val="003E500A"/>
    <w:rsid w:val="004220B7"/>
    <w:rsid w:val="004406B3"/>
    <w:rsid w:val="00454189"/>
    <w:rsid w:val="00490087"/>
    <w:rsid w:val="00496F0A"/>
    <w:rsid w:val="004A2372"/>
    <w:rsid w:val="004A547E"/>
    <w:rsid w:val="004C1762"/>
    <w:rsid w:val="0051479E"/>
    <w:rsid w:val="0054397D"/>
    <w:rsid w:val="00596921"/>
    <w:rsid w:val="005B10CB"/>
    <w:rsid w:val="005B5BA1"/>
    <w:rsid w:val="005D28C1"/>
    <w:rsid w:val="005F0011"/>
    <w:rsid w:val="005F4B6F"/>
    <w:rsid w:val="00602246"/>
    <w:rsid w:val="00621B89"/>
    <w:rsid w:val="006278AA"/>
    <w:rsid w:val="006563E8"/>
    <w:rsid w:val="00657562"/>
    <w:rsid w:val="006671E4"/>
    <w:rsid w:val="00684A1E"/>
    <w:rsid w:val="00697B74"/>
    <w:rsid w:val="006E4D8A"/>
    <w:rsid w:val="007038D2"/>
    <w:rsid w:val="007165FF"/>
    <w:rsid w:val="00725E5C"/>
    <w:rsid w:val="00762414"/>
    <w:rsid w:val="007842F0"/>
    <w:rsid w:val="007F47A9"/>
    <w:rsid w:val="00820611"/>
    <w:rsid w:val="00853076"/>
    <w:rsid w:val="00882D61"/>
    <w:rsid w:val="008B6F1F"/>
    <w:rsid w:val="008E73A3"/>
    <w:rsid w:val="008E76B2"/>
    <w:rsid w:val="00912E29"/>
    <w:rsid w:val="00941908"/>
    <w:rsid w:val="00982E13"/>
    <w:rsid w:val="0098481C"/>
    <w:rsid w:val="009B7C17"/>
    <w:rsid w:val="009F05A0"/>
    <w:rsid w:val="00A176E2"/>
    <w:rsid w:val="00A320EC"/>
    <w:rsid w:val="00A449B7"/>
    <w:rsid w:val="00A862C2"/>
    <w:rsid w:val="00A95DC8"/>
    <w:rsid w:val="00AD67E1"/>
    <w:rsid w:val="00B06C89"/>
    <w:rsid w:val="00B06F98"/>
    <w:rsid w:val="00B0742D"/>
    <w:rsid w:val="00B32632"/>
    <w:rsid w:val="00B40A7C"/>
    <w:rsid w:val="00B54ADB"/>
    <w:rsid w:val="00BA7CEB"/>
    <w:rsid w:val="00BC7D5A"/>
    <w:rsid w:val="00BE7788"/>
    <w:rsid w:val="00C24112"/>
    <w:rsid w:val="00C30558"/>
    <w:rsid w:val="00C4160D"/>
    <w:rsid w:val="00CD273E"/>
    <w:rsid w:val="00D30A5D"/>
    <w:rsid w:val="00D31877"/>
    <w:rsid w:val="00D75A8E"/>
    <w:rsid w:val="00D847C9"/>
    <w:rsid w:val="00E038CF"/>
    <w:rsid w:val="00E2424D"/>
    <w:rsid w:val="00E34422"/>
    <w:rsid w:val="00E612C3"/>
    <w:rsid w:val="00E6700E"/>
    <w:rsid w:val="00E756F6"/>
    <w:rsid w:val="00EA67C8"/>
    <w:rsid w:val="00EC3DDF"/>
    <w:rsid w:val="00ED79DE"/>
    <w:rsid w:val="00EF5382"/>
    <w:rsid w:val="00EF6A36"/>
    <w:rsid w:val="00F25CC0"/>
    <w:rsid w:val="00F55D99"/>
    <w:rsid w:val="00F618AD"/>
    <w:rsid w:val="00FB7052"/>
    <w:rsid w:val="00FC3CB1"/>
    <w:rsid w:val="00FD0405"/>
    <w:rsid w:val="00FD1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1A488"/>
  <w15:docId w15:val="{34866048-CD8E-49B0-BB62-3CA81380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A0"/>
    <w:rPr>
      <w:rFonts w:eastAsiaTheme="minorEastAsia"/>
    </w:rPr>
  </w:style>
  <w:style w:type="paragraph" w:styleId="Titlu1">
    <w:name w:val="heading 1"/>
    <w:basedOn w:val="Normal"/>
    <w:link w:val="Titlu1Caracter"/>
    <w:qFormat/>
    <w:rsid w:val="001D47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u3">
    <w:name w:val="heading 3"/>
    <w:basedOn w:val="Normal"/>
    <w:link w:val="Titlu3Caracter"/>
    <w:uiPriority w:val="9"/>
    <w:qFormat/>
    <w:rsid w:val="001D47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D47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u3Caracter">
    <w:name w:val="Titlu 3 Caracter"/>
    <w:basedOn w:val="Fontdeparagrafimplicit"/>
    <w:link w:val="Titlu3"/>
    <w:uiPriority w:val="9"/>
    <w:rsid w:val="001D47E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Robust">
    <w:name w:val="Strong"/>
    <w:basedOn w:val="Fontdeparagrafimplicit"/>
    <w:uiPriority w:val="22"/>
    <w:qFormat/>
    <w:rsid w:val="001D47E2"/>
    <w:rPr>
      <w:b/>
      <w:bCs/>
    </w:rPr>
  </w:style>
  <w:style w:type="paragraph" w:styleId="Frspaiere">
    <w:name w:val="No Spacing"/>
    <w:uiPriority w:val="1"/>
    <w:qFormat/>
    <w:rsid w:val="009F05A0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Fontdeparagrafimplicit"/>
    <w:uiPriority w:val="99"/>
    <w:unhideWhenUsed/>
    <w:rsid w:val="00F55D99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55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55D99"/>
    <w:rPr>
      <w:rFonts w:ascii="Tahoma" w:eastAsiaTheme="minorEastAsi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A320EC"/>
    <w:pPr>
      <w:ind w:left="720"/>
      <w:contextualSpacing/>
    </w:pPr>
  </w:style>
  <w:style w:type="table" w:styleId="Tabelgril">
    <w:name w:val="Table Grid"/>
    <w:basedOn w:val="TabelNormal"/>
    <w:uiPriority w:val="39"/>
    <w:rsid w:val="003552EE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602246"/>
    <w:pPr>
      <w:tabs>
        <w:tab w:val="center" w:pos="4536"/>
        <w:tab w:val="right" w:pos="9072"/>
      </w:tabs>
      <w:spacing w:after="160" w:line="240" w:lineRule="auto"/>
    </w:pPr>
    <w:rPr>
      <w:rFonts w:eastAsiaTheme="minorHAnsi"/>
    </w:rPr>
  </w:style>
  <w:style w:type="character" w:customStyle="1" w:styleId="AntetCaracter">
    <w:name w:val="Antet Caracter"/>
    <w:basedOn w:val="Fontdeparagrafimplicit"/>
    <w:link w:val="Antet"/>
    <w:uiPriority w:val="99"/>
    <w:rsid w:val="00602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7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mures@anfof.ro" TargetMode="External"/><Relationship Id="rId11" Type="http://schemas.openxmlformats.org/officeDocument/2006/relationships/hyperlink" Target="https://www.anfdf.ro/sanatate/ghid/ghiduri.htm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anfof.ro/index/pestexper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oe.anfdf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1169</Words>
  <Characters>6784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autoritatea fitosanitara</cp:lastModifiedBy>
  <cp:revision>12</cp:revision>
  <cp:lastPrinted>2024-02-07T10:22:00Z</cp:lastPrinted>
  <dcterms:created xsi:type="dcterms:W3CDTF">2026-04-22T05:35:00Z</dcterms:created>
  <dcterms:modified xsi:type="dcterms:W3CDTF">2026-05-14T10:00:00Z</dcterms:modified>
</cp:coreProperties>
</file>